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63061A" w:rsidRDefault="0063061A" w:rsidP="000667D4">
      <w:pPr>
        <w:shd w:val="clear" w:color="auto" w:fill="FFFFFF" w:themeFill="background1"/>
        <w:rPr>
          <w:rFonts w:ascii="Times New Roman" w:eastAsia="Times New Roman" w:hAnsi="Times New Roman" w:cs="Times New Roman"/>
          <w:b/>
          <w:sz w:val="24"/>
          <w:szCs w:val="24"/>
        </w:rPr>
      </w:pPr>
    </w:p>
    <w:p w:rsidR="0063061A" w:rsidRDefault="0063061A" w:rsidP="000667D4">
      <w:pPr>
        <w:shd w:val="clear" w:color="auto" w:fill="FFFFFF" w:themeFill="background1"/>
        <w:rPr>
          <w:rFonts w:ascii="Times New Roman" w:eastAsia="Times New Roman" w:hAnsi="Times New Roman" w:cs="Times New Roman"/>
          <w:b/>
          <w:sz w:val="24"/>
          <w:szCs w:val="24"/>
        </w:rPr>
      </w:pPr>
    </w:p>
    <w:p w:rsidR="0024445F" w:rsidRPr="000667D4" w:rsidRDefault="000667D4" w:rsidP="000667D4">
      <w:pPr>
        <w:shd w:val="clear" w:color="auto" w:fill="FFFFFF" w:themeFill="background1"/>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12.</w:t>
      </w:r>
      <w:r w:rsidR="00D65E44">
        <w:rPr>
          <w:rFonts w:ascii="Times New Roman" w:eastAsia="Times New Roman" w:hAnsi="Times New Roman" w:cs="Times New Roman"/>
          <w:b/>
          <w:sz w:val="24"/>
          <w:szCs w:val="24"/>
        </w:rPr>
        <w:t>5.6</w:t>
      </w:r>
    </w:p>
    <w:p w:rsidR="00175BCC" w:rsidRPr="000667D4" w:rsidRDefault="000667D4" w:rsidP="000667D4">
      <w:pPr>
        <w:shd w:val="clear" w:color="auto" w:fill="FFFFFF" w:themeFill="background1"/>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 xml:space="preserve">Printing under </w:t>
      </w:r>
      <w:r w:rsidR="00822ECE">
        <w:rPr>
          <w:rFonts w:ascii="Times New Roman" w:eastAsia="Times New Roman" w:hAnsi="Times New Roman" w:cs="Times New Roman"/>
          <w:b/>
          <w:sz w:val="24"/>
          <w:szCs w:val="24"/>
        </w:rPr>
        <w:t>ECD</w:t>
      </w:r>
    </w:p>
    <w:p w:rsidR="00A742B1" w:rsidRDefault="00175BCC" w:rsidP="00175BCC">
      <w:pPr>
        <w:shd w:val="clear" w:color="auto" w:fill="FFFFFF" w:themeFill="background1"/>
        <w:tabs>
          <w:tab w:val="left" w:pos="1170"/>
        </w:tabs>
        <w:spacing w:after="0"/>
        <w:jc w:val="both"/>
        <w:rPr>
          <w:rFonts w:ascii="Times New Roman" w:hAnsi="Times New Roman" w:cs="Times New Roman"/>
          <w:sz w:val="24"/>
          <w:szCs w:val="24"/>
        </w:rPr>
      </w:pPr>
      <w:r w:rsidRPr="00175BCC">
        <w:rPr>
          <w:rFonts w:ascii="Times New Roman" w:eastAsia="Times New Roman" w:hAnsi="Times New Roman" w:cs="Times New Roman"/>
          <w:sz w:val="24"/>
          <w:szCs w:val="24"/>
        </w:rPr>
        <w:t xml:space="preserve"> </w:t>
      </w:r>
      <w:r w:rsidR="00A742B1">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 xml:space="preserve">Proposal is for developing </w:t>
      </w:r>
      <w:r w:rsidR="00A742B1" w:rsidRPr="00CD5B09">
        <w:rPr>
          <w:rFonts w:ascii="Times New Roman" w:eastAsia="Times New Roman" w:hAnsi="Times New Roman" w:cs="Times New Roman"/>
          <w:color w:val="000000" w:themeColor="text1"/>
          <w:sz w:val="24"/>
          <w:szCs w:val="24"/>
        </w:rPr>
        <w:t>translat</w:t>
      </w:r>
      <w:r w:rsidR="00A742B1">
        <w:rPr>
          <w:rFonts w:ascii="Times New Roman" w:eastAsia="Times New Roman" w:hAnsi="Times New Roman" w:cs="Times New Roman"/>
          <w:color w:val="000000" w:themeColor="text1"/>
          <w:sz w:val="24"/>
          <w:szCs w:val="24"/>
        </w:rPr>
        <w:t>ed</w:t>
      </w:r>
      <w:r w:rsidR="00A742B1" w:rsidRPr="00CD5B09">
        <w:rPr>
          <w:rFonts w:ascii="Times New Roman" w:eastAsia="Times New Roman" w:hAnsi="Times New Roman" w:cs="Times New Roman"/>
          <w:color w:val="000000" w:themeColor="text1"/>
          <w:sz w:val="24"/>
          <w:szCs w:val="24"/>
        </w:rPr>
        <w:t xml:space="preserve"> version of the book </w:t>
      </w:r>
      <w:r w:rsidR="00A742B1" w:rsidRPr="00CD5B09">
        <w:rPr>
          <w:rFonts w:ascii="Times New Roman" w:hAnsi="Times New Roman" w:cs="Times New Roman"/>
          <w:sz w:val="24"/>
          <w:szCs w:val="24"/>
        </w:rPr>
        <w:t>“Journey of the First 1000 Days- foundation of a Brighter Future”</w:t>
      </w:r>
      <w:r w:rsidR="00923987">
        <w:rPr>
          <w:rFonts w:ascii="Times New Roman" w:hAnsi="Times New Roman" w:cs="Times New Roman"/>
          <w:sz w:val="24"/>
          <w:szCs w:val="24"/>
        </w:rPr>
        <w:t xml:space="preserve"> </w:t>
      </w:r>
      <w:r w:rsidR="00A742B1">
        <w:rPr>
          <w:rFonts w:ascii="Times New Roman" w:hAnsi="Times New Roman" w:cs="Times New Roman"/>
          <w:sz w:val="24"/>
          <w:szCs w:val="24"/>
        </w:rPr>
        <w:t>in local language/dialect.</w:t>
      </w:r>
    </w:p>
    <w:p w:rsidR="00A742B1" w:rsidRDefault="00A742B1" w:rsidP="00175BCC">
      <w:pPr>
        <w:shd w:val="clear" w:color="auto" w:fill="FFFFFF" w:themeFill="background1"/>
        <w:tabs>
          <w:tab w:val="left" w:pos="1170"/>
        </w:tabs>
        <w:spacing w:after="0"/>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ab/>
        <w:t xml:space="preserve">It </w:t>
      </w:r>
      <w:proofErr w:type="spellStart"/>
      <w:r>
        <w:rPr>
          <w:rFonts w:ascii="Times New Roman" w:eastAsia="Times New Roman" w:hAnsi="Times New Roman" w:cs="Times New Roman"/>
          <w:color w:val="000000" w:themeColor="text1"/>
          <w:sz w:val="24"/>
          <w:szCs w:val="24"/>
        </w:rPr>
        <w:t>maybe</w:t>
      </w:r>
      <w:proofErr w:type="spellEnd"/>
      <w:r>
        <w:rPr>
          <w:rFonts w:ascii="Times New Roman" w:eastAsia="Times New Roman" w:hAnsi="Times New Roman" w:cs="Times New Roman"/>
          <w:color w:val="000000" w:themeColor="text1"/>
          <w:sz w:val="24"/>
          <w:szCs w:val="24"/>
        </w:rPr>
        <w:t xml:space="preserve"> noted that approval was received in State </w:t>
      </w:r>
      <w:proofErr w:type="spellStart"/>
      <w:r>
        <w:rPr>
          <w:rFonts w:ascii="Times New Roman" w:eastAsia="Times New Roman" w:hAnsi="Times New Roman" w:cs="Times New Roman"/>
          <w:color w:val="000000" w:themeColor="text1"/>
          <w:sz w:val="24"/>
          <w:szCs w:val="24"/>
        </w:rPr>
        <w:t>RoP</w:t>
      </w:r>
      <w:proofErr w:type="spellEnd"/>
      <w:r>
        <w:rPr>
          <w:rFonts w:ascii="Times New Roman" w:eastAsia="Times New Roman" w:hAnsi="Times New Roman" w:cs="Times New Roman"/>
          <w:color w:val="000000" w:themeColor="text1"/>
          <w:sz w:val="24"/>
          <w:szCs w:val="24"/>
        </w:rPr>
        <w:t xml:space="preserve"> 2019-20 </w:t>
      </w:r>
      <w:r w:rsidR="007922C5">
        <w:rPr>
          <w:rFonts w:ascii="Times New Roman" w:eastAsia="Times New Roman" w:hAnsi="Times New Roman" w:cs="Times New Roman"/>
          <w:color w:val="000000" w:themeColor="text1"/>
          <w:sz w:val="24"/>
          <w:szCs w:val="24"/>
        </w:rPr>
        <w:t xml:space="preserve">under the same FMR Code </w:t>
      </w:r>
      <w:r>
        <w:rPr>
          <w:rFonts w:ascii="Times New Roman" w:eastAsia="Times New Roman" w:hAnsi="Times New Roman" w:cs="Times New Roman"/>
          <w:color w:val="000000" w:themeColor="text1"/>
          <w:sz w:val="24"/>
          <w:szCs w:val="24"/>
        </w:rPr>
        <w:t>for</w:t>
      </w:r>
      <w:r w:rsidRPr="00CD5B09">
        <w:rPr>
          <w:rFonts w:ascii="Times New Roman" w:eastAsia="Times New Roman" w:hAnsi="Times New Roman" w:cs="Times New Roman"/>
          <w:color w:val="000000" w:themeColor="text1"/>
          <w:sz w:val="24"/>
          <w:szCs w:val="24"/>
        </w:rPr>
        <w:t xml:space="preserve"> translation of the English version of the book </w:t>
      </w:r>
      <w:r w:rsidRPr="00CD5B09">
        <w:rPr>
          <w:rFonts w:ascii="Times New Roman" w:hAnsi="Times New Roman" w:cs="Times New Roman"/>
          <w:sz w:val="24"/>
          <w:szCs w:val="24"/>
        </w:rPr>
        <w:t>“Journey of the First 1000 Days- foundation of a Brighter Future” published by RBS</w:t>
      </w:r>
      <w:r>
        <w:rPr>
          <w:rFonts w:ascii="Times New Roman" w:hAnsi="Times New Roman" w:cs="Times New Roman"/>
          <w:sz w:val="24"/>
          <w:szCs w:val="24"/>
        </w:rPr>
        <w:t xml:space="preserve">K, </w:t>
      </w:r>
      <w:proofErr w:type="spellStart"/>
      <w:r>
        <w:rPr>
          <w:rFonts w:ascii="Times New Roman" w:hAnsi="Times New Roman" w:cs="Times New Roman"/>
          <w:sz w:val="24"/>
          <w:szCs w:val="24"/>
        </w:rPr>
        <w:t>MoHFW</w:t>
      </w:r>
      <w:proofErr w:type="spellEnd"/>
      <w:r>
        <w:rPr>
          <w:rFonts w:ascii="Times New Roman" w:hAnsi="Times New Roman" w:cs="Times New Roman"/>
          <w:sz w:val="24"/>
          <w:szCs w:val="24"/>
        </w:rPr>
        <w:t>, GOI in April, 2018 into local language/dialect. Printing cost</w:t>
      </w:r>
      <w:r w:rsidR="0063061A">
        <w:rPr>
          <w:rFonts w:ascii="Times New Roman" w:hAnsi="Times New Roman" w:cs="Times New Roman"/>
          <w:sz w:val="24"/>
          <w:szCs w:val="24"/>
        </w:rPr>
        <w:t xml:space="preserve"> of the same</w:t>
      </w:r>
      <w:r>
        <w:rPr>
          <w:rFonts w:ascii="Times New Roman" w:hAnsi="Times New Roman" w:cs="Times New Roman"/>
          <w:sz w:val="24"/>
          <w:szCs w:val="24"/>
        </w:rPr>
        <w:t xml:space="preserve"> is estimated </w:t>
      </w:r>
      <w:r w:rsidR="0063061A">
        <w:rPr>
          <w:rFonts w:ascii="Times New Roman" w:hAnsi="Times New Roman" w:cs="Times New Roman"/>
          <w:sz w:val="24"/>
          <w:szCs w:val="24"/>
        </w:rPr>
        <w:t xml:space="preserve">under the same FMR Code </w:t>
      </w:r>
      <w:r>
        <w:rPr>
          <w:rFonts w:ascii="Times New Roman" w:hAnsi="Times New Roman" w:cs="Times New Roman"/>
          <w:sz w:val="24"/>
          <w:szCs w:val="24"/>
        </w:rPr>
        <w:t xml:space="preserve">as indicated in the table given below. This book is planned to be circulated </w:t>
      </w:r>
      <w:r w:rsidR="0022766A">
        <w:rPr>
          <w:rFonts w:ascii="Times New Roman" w:hAnsi="Times New Roman" w:cs="Times New Roman"/>
          <w:sz w:val="24"/>
          <w:szCs w:val="24"/>
        </w:rPr>
        <w:t>to all public health facilities including District Hospitals, Sub District Hospitals, CHC, PHC, SC and HWC across the state</w:t>
      </w:r>
      <w:r w:rsidR="00923987">
        <w:rPr>
          <w:rFonts w:ascii="Times New Roman" w:hAnsi="Times New Roman" w:cs="Times New Roman"/>
          <w:sz w:val="24"/>
          <w:szCs w:val="24"/>
        </w:rPr>
        <w:t xml:space="preserve"> </w:t>
      </w:r>
      <w:r w:rsidR="0022766A">
        <w:rPr>
          <w:rFonts w:ascii="Times New Roman" w:hAnsi="Times New Roman" w:cs="Times New Roman"/>
          <w:sz w:val="24"/>
          <w:szCs w:val="24"/>
        </w:rPr>
        <w:t xml:space="preserve">and make them available to facility visitors/ service users </w:t>
      </w:r>
      <w:r>
        <w:rPr>
          <w:rFonts w:ascii="Times New Roman" w:hAnsi="Times New Roman" w:cs="Times New Roman"/>
          <w:sz w:val="24"/>
          <w:szCs w:val="24"/>
        </w:rPr>
        <w:t>with the hope that it will benefit the overall health of both parents and children across the country. Rate proposed is slightly on the higher side considering the valid rate offered by local govt.</w:t>
      </w:r>
      <w:r w:rsidR="0063061A">
        <w:rPr>
          <w:rFonts w:ascii="Times New Roman" w:hAnsi="Times New Roman" w:cs="Times New Roman"/>
          <w:sz w:val="24"/>
          <w:szCs w:val="24"/>
        </w:rPr>
        <w:t xml:space="preserve"> </w:t>
      </w:r>
      <w:r>
        <w:rPr>
          <w:rFonts w:ascii="Times New Roman" w:hAnsi="Times New Roman" w:cs="Times New Roman"/>
          <w:sz w:val="24"/>
          <w:szCs w:val="24"/>
        </w:rPr>
        <w:t>approved printing press/firms.</w:t>
      </w:r>
    </w:p>
    <w:p w:rsidR="00073A10" w:rsidRPr="00175BCC" w:rsidRDefault="00073A10" w:rsidP="00175BCC">
      <w:pPr>
        <w:shd w:val="clear" w:color="auto" w:fill="FFFFFF" w:themeFill="background1"/>
        <w:tabs>
          <w:tab w:val="left" w:pos="1170"/>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Moroveover</w:t>
      </w:r>
      <w:proofErr w:type="spellEnd"/>
      <w:r>
        <w:rPr>
          <w:rFonts w:ascii="Times New Roman" w:hAnsi="Times New Roman" w:cs="Times New Roman"/>
          <w:sz w:val="24"/>
          <w:szCs w:val="24"/>
        </w:rPr>
        <w:t>, to ensure maximum accessibility of “</w:t>
      </w:r>
      <w:proofErr w:type="spellStart"/>
      <w:r>
        <w:rPr>
          <w:rFonts w:ascii="Times New Roman" w:hAnsi="Times New Roman" w:cs="Times New Roman"/>
          <w:sz w:val="24"/>
          <w:szCs w:val="24"/>
        </w:rPr>
        <w:t>AyushmanBhava</w:t>
      </w:r>
      <w:proofErr w:type="spellEnd"/>
      <w:r>
        <w:rPr>
          <w:rFonts w:ascii="Times New Roman" w:hAnsi="Times New Roman" w:cs="Times New Roman"/>
          <w:sz w:val="24"/>
          <w:szCs w:val="24"/>
        </w:rPr>
        <w:t xml:space="preserve">”- the mobile app, it is proposed to include </w:t>
      </w:r>
      <w:proofErr w:type="spellStart"/>
      <w:r>
        <w:rPr>
          <w:rFonts w:ascii="Times New Roman" w:hAnsi="Times New Roman" w:cs="Times New Roman"/>
          <w:sz w:val="24"/>
          <w:szCs w:val="24"/>
        </w:rPr>
        <w:t>Mizo</w:t>
      </w:r>
      <w:proofErr w:type="spellEnd"/>
      <w:r>
        <w:rPr>
          <w:rFonts w:ascii="Times New Roman" w:hAnsi="Times New Roman" w:cs="Times New Roman"/>
          <w:sz w:val="24"/>
          <w:szCs w:val="24"/>
        </w:rPr>
        <w:t xml:space="preserve"> Language as one of the optional languages so that any parent or caregiver with quarries related to pregnancy, child rearing or child’s health may be able to get the right information in the comfort of her/his home by downloading this mobile application. </w:t>
      </w:r>
      <w:r>
        <w:rPr>
          <w:rFonts w:ascii="Times New Roman" w:hAnsi="Times New Roman" w:cs="Times New Roman"/>
          <w:sz w:val="24"/>
          <w:szCs w:val="24"/>
        </w:rPr>
        <w:br/>
        <w:t>For this, National RBSK Unit has been contacted and if approved, translation and dubbing of IEC materials included in the “</w:t>
      </w:r>
      <w:proofErr w:type="spellStart"/>
      <w:r>
        <w:rPr>
          <w:rFonts w:ascii="Times New Roman" w:hAnsi="Times New Roman" w:cs="Times New Roman"/>
          <w:sz w:val="24"/>
          <w:szCs w:val="24"/>
        </w:rPr>
        <w:t>AyushmanBhava</w:t>
      </w:r>
      <w:proofErr w:type="spellEnd"/>
      <w:r>
        <w:rPr>
          <w:rFonts w:ascii="Times New Roman" w:hAnsi="Times New Roman" w:cs="Times New Roman"/>
          <w:sz w:val="24"/>
          <w:szCs w:val="24"/>
        </w:rPr>
        <w:t>” mobile app will be taken up by the state and forwarded to the app developer for inclusion. Proposal is translation and dubbing is submitted.</w:t>
      </w:r>
    </w:p>
    <w:p w:rsidR="00175BCC" w:rsidRPr="00175BCC" w:rsidRDefault="00175BCC" w:rsidP="00175BCC">
      <w:pPr>
        <w:shd w:val="clear" w:color="auto" w:fill="FFFFFF" w:themeFill="background1"/>
        <w:tabs>
          <w:tab w:val="left" w:pos="1170"/>
        </w:tabs>
        <w:spacing w:after="0"/>
        <w:jc w:val="both"/>
        <w:rPr>
          <w:rFonts w:ascii="Times New Roman" w:eastAsia="Times New Roman" w:hAnsi="Times New Roman" w:cs="Times New Roman"/>
          <w:sz w:val="24"/>
          <w:szCs w:val="24"/>
        </w:rPr>
      </w:pPr>
    </w:p>
    <w:tbl>
      <w:tblPr>
        <w:tblStyle w:val="TableGrid"/>
        <w:tblW w:w="0" w:type="auto"/>
        <w:tblLook w:val="04A0"/>
      </w:tblPr>
      <w:tblGrid>
        <w:gridCol w:w="687"/>
        <w:gridCol w:w="2773"/>
        <w:gridCol w:w="1487"/>
        <w:gridCol w:w="2070"/>
        <w:gridCol w:w="2225"/>
      </w:tblGrid>
      <w:tr w:rsidR="00175BCC" w:rsidRPr="00175BCC" w:rsidTr="00011886">
        <w:trPr>
          <w:trHeight w:val="143"/>
        </w:trPr>
        <w:tc>
          <w:tcPr>
            <w:tcW w:w="687" w:type="dxa"/>
          </w:tcPr>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SN</w:t>
            </w:r>
          </w:p>
        </w:tc>
        <w:tc>
          <w:tcPr>
            <w:tcW w:w="2773" w:type="dxa"/>
          </w:tcPr>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Particulars</w:t>
            </w:r>
          </w:p>
        </w:tc>
        <w:tc>
          <w:tcPr>
            <w:tcW w:w="1487"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Unit</w:t>
            </w:r>
          </w:p>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Cost in Rs/-</w:t>
            </w:r>
          </w:p>
        </w:tc>
        <w:tc>
          <w:tcPr>
            <w:tcW w:w="2070"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no. of</w:t>
            </w:r>
          </w:p>
          <w:p w:rsidR="00175BCC" w:rsidRPr="00175BCC" w:rsidRDefault="00175BCC" w:rsidP="00011886">
            <w:pPr>
              <w:shd w:val="clear" w:color="auto" w:fill="FFFFFF" w:themeFill="background1"/>
              <w:rPr>
                <w:rFonts w:ascii="Times New Roman" w:hAnsi="Times New Roman" w:cs="Times New Roman"/>
                <w:sz w:val="24"/>
                <w:szCs w:val="24"/>
              </w:rPr>
            </w:pPr>
            <w:r w:rsidRPr="00175BCC">
              <w:rPr>
                <w:rFonts w:ascii="Times New Roman" w:eastAsia="Times New Roman" w:hAnsi="Times New Roman" w:cs="Times New Roman"/>
                <w:sz w:val="24"/>
                <w:szCs w:val="24"/>
              </w:rPr>
              <w:t>Unit</w:t>
            </w:r>
          </w:p>
        </w:tc>
        <w:tc>
          <w:tcPr>
            <w:tcW w:w="2225" w:type="dxa"/>
          </w:tcPr>
          <w:p w:rsidR="00175BCC" w:rsidRPr="00175BCC" w:rsidRDefault="00175BCC" w:rsidP="00011886">
            <w:pPr>
              <w:shd w:val="clear" w:color="auto" w:fill="FFFFFF" w:themeFill="background1"/>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Amount (in Rs.)</w:t>
            </w:r>
          </w:p>
        </w:tc>
      </w:tr>
      <w:tr w:rsidR="00175BCC" w:rsidRPr="00175BCC" w:rsidTr="00011886">
        <w:trPr>
          <w:trHeight w:val="143"/>
        </w:trPr>
        <w:tc>
          <w:tcPr>
            <w:tcW w:w="687" w:type="dxa"/>
          </w:tcPr>
          <w:p w:rsidR="00175BCC" w:rsidRPr="00C16891" w:rsidRDefault="00175BCC" w:rsidP="00011886">
            <w:pPr>
              <w:shd w:val="clear" w:color="auto" w:fill="FFFFFF" w:themeFill="background1"/>
              <w:rPr>
                <w:rFonts w:ascii="Times New Roman" w:hAnsi="Times New Roman" w:cs="Times New Roman"/>
                <w:sz w:val="24"/>
                <w:szCs w:val="24"/>
              </w:rPr>
            </w:pPr>
            <w:r w:rsidRPr="00C16891">
              <w:rPr>
                <w:rFonts w:ascii="Times New Roman" w:eastAsia="Times New Roman" w:hAnsi="Times New Roman" w:cs="Times New Roman"/>
                <w:sz w:val="24"/>
                <w:szCs w:val="24"/>
              </w:rPr>
              <w:t>1.</w:t>
            </w:r>
          </w:p>
        </w:tc>
        <w:tc>
          <w:tcPr>
            <w:tcW w:w="2773" w:type="dxa"/>
          </w:tcPr>
          <w:p w:rsidR="00175BCC" w:rsidRPr="00C16891" w:rsidRDefault="00A742B1" w:rsidP="00011886">
            <w:pPr>
              <w:shd w:val="clear" w:color="auto" w:fill="FFFFFF" w:themeFill="background1"/>
              <w:rPr>
                <w:rFonts w:ascii="Times New Roman" w:eastAsia="Times New Roman" w:hAnsi="Times New Roman" w:cs="Times New Roman"/>
                <w:sz w:val="24"/>
                <w:szCs w:val="24"/>
              </w:rPr>
            </w:pPr>
            <w:proofErr w:type="spellStart"/>
            <w:r w:rsidRPr="00C16891">
              <w:rPr>
                <w:rFonts w:ascii="Times New Roman" w:eastAsia="Times New Roman" w:hAnsi="Times New Roman" w:cs="Times New Roman"/>
                <w:color w:val="000000" w:themeColor="text1"/>
                <w:sz w:val="24"/>
                <w:szCs w:val="24"/>
              </w:rPr>
              <w:t>Mizo</w:t>
            </w:r>
            <w:proofErr w:type="spellEnd"/>
            <w:r w:rsidRPr="00C16891">
              <w:rPr>
                <w:rFonts w:ascii="Times New Roman" w:eastAsia="Times New Roman" w:hAnsi="Times New Roman" w:cs="Times New Roman"/>
                <w:color w:val="000000" w:themeColor="text1"/>
                <w:sz w:val="24"/>
                <w:szCs w:val="24"/>
              </w:rPr>
              <w:t xml:space="preserve"> version of the book </w:t>
            </w:r>
            <w:r w:rsidRPr="00C16891">
              <w:rPr>
                <w:rFonts w:ascii="Times New Roman" w:hAnsi="Times New Roman" w:cs="Times New Roman"/>
                <w:sz w:val="24"/>
                <w:szCs w:val="24"/>
              </w:rPr>
              <w:t>“Journey of the First 1000 Days- foundation of a Brighter Future”</w:t>
            </w:r>
            <w:r w:rsidR="00B752ED">
              <w:rPr>
                <w:rFonts w:ascii="Times New Roman" w:hAnsi="Times New Roman" w:cs="Times New Roman"/>
                <w:sz w:val="24"/>
                <w:szCs w:val="24"/>
              </w:rPr>
              <w:t xml:space="preserve"> (using Art Paper 130 </w:t>
            </w:r>
            <w:proofErr w:type="spellStart"/>
            <w:r w:rsidR="00B752ED">
              <w:rPr>
                <w:rFonts w:ascii="Times New Roman" w:hAnsi="Times New Roman" w:cs="Times New Roman"/>
                <w:sz w:val="24"/>
                <w:szCs w:val="24"/>
              </w:rPr>
              <w:t>gsm</w:t>
            </w:r>
            <w:proofErr w:type="spellEnd"/>
            <w:r w:rsidR="00B752ED">
              <w:rPr>
                <w:rFonts w:ascii="Times New Roman" w:hAnsi="Times New Roman" w:cs="Times New Roman"/>
                <w:sz w:val="24"/>
                <w:szCs w:val="24"/>
              </w:rPr>
              <w:t>)</w:t>
            </w:r>
          </w:p>
        </w:tc>
        <w:tc>
          <w:tcPr>
            <w:tcW w:w="1487" w:type="dxa"/>
          </w:tcPr>
          <w:p w:rsidR="00175BCC" w:rsidRPr="00C16891" w:rsidRDefault="00491A3E"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63061A">
              <w:rPr>
                <w:rFonts w:ascii="Times New Roman" w:eastAsia="Times New Roman" w:hAnsi="Times New Roman" w:cs="Times New Roman"/>
                <w:sz w:val="24"/>
                <w:szCs w:val="24"/>
              </w:rPr>
              <w:t>00</w:t>
            </w:r>
          </w:p>
        </w:tc>
        <w:tc>
          <w:tcPr>
            <w:tcW w:w="2070" w:type="dxa"/>
          </w:tcPr>
          <w:p w:rsidR="00175BCC" w:rsidRPr="00C16891" w:rsidRDefault="007C5102" w:rsidP="0063061A">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B752ED">
              <w:rPr>
                <w:rFonts w:ascii="Times New Roman" w:eastAsia="Times New Roman" w:hAnsi="Times New Roman" w:cs="Times New Roman"/>
                <w:sz w:val="24"/>
                <w:szCs w:val="24"/>
              </w:rPr>
              <w:t>00</w:t>
            </w:r>
          </w:p>
        </w:tc>
        <w:tc>
          <w:tcPr>
            <w:tcW w:w="2225" w:type="dxa"/>
          </w:tcPr>
          <w:p w:rsidR="00175BCC" w:rsidRPr="00C16891" w:rsidRDefault="00491A3E"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81A5D">
              <w:rPr>
                <w:rFonts w:ascii="Times New Roman" w:eastAsia="Times New Roman" w:hAnsi="Times New Roman" w:cs="Times New Roman"/>
                <w:sz w:val="24"/>
                <w:szCs w:val="24"/>
              </w:rPr>
              <w:t>00</w:t>
            </w:r>
            <w:r w:rsidR="0063061A">
              <w:rPr>
                <w:rFonts w:ascii="Times New Roman" w:eastAsia="Times New Roman" w:hAnsi="Times New Roman" w:cs="Times New Roman"/>
                <w:sz w:val="24"/>
                <w:szCs w:val="24"/>
              </w:rPr>
              <w:t>000</w:t>
            </w:r>
          </w:p>
        </w:tc>
      </w:tr>
      <w:tr w:rsidR="00AF67C7" w:rsidRPr="00175BCC" w:rsidTr="00011886">
        <w:trPr>
          <w:trHeight w:val="143"/>
        </w:trPr>
        <w:tc>
          <w:tcPr>
            <w:tcW w:w="687" w:type="dxa"/>
          </w:tcPr>
          <w:p w:rsidR="00AF67C7" w:rsidRPr="00C16891" w:rsidRDefault="00AF67C7"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2773" w:type="dxa"/>
          </w:tcPr>
          <w:p w:rsidR="00AF67C7" w:rsidRPr="00C16891" w:rsidRDefault="00AF67C7" w:rsidP="00AF67C7">
            <w:pPr>
              <w:shd w:val="clear" w:color="auto" w:fill="FFFFFF" w:themeFill="background1"/>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Translation </w:t>
            </w:r>
            <w:r w:rsidR="00491A3E">
              <w:rPr>
                <w:rFonts w:ascii="Times New Roman" w:eastAsia="Times New Roman" w:hAnsi="Times New Roman" w:cs="Times New Roman"/>
                <w:color w:val="000000" w:themeColor="text1"/>
                <w:sz w:val="24"/>
                <w:szCs w:val="24"/>
              </w:rPr>
              <w:t xml:space="preserve">&amp; Dubbing </w:t>
            </w:r>
            <w:r>
              <w:rPr>
                <w:rFonts w:ascii="Times New Roman" w:eastAsia="Times New Roman" w:hAnsi="Times New Roman" w:cs="Times New Roman"/>
                <w:color w:val="000000" w:themeColor="text1"/>
                <w:sz w:val="24"/>
                <w:szCs w:val="24"/>
              </w:rPr>
              <w:t xml:space="preserve">of </w:t>
            </w:r>
            <w:r w:rsidRPr="00C16891">
              <w:rPr>
                <w:rFonts w:ascii="Times New Roman" w:hAnsi="Times New Roman" w:cs="Times New Roman"/>
                <w:sz w:val="24"/>
                <w:szCs w:val="24"/>
              </w:rPr>
              <w:t>“Journey of the First 1000 Days- foundation of a Brighter Future”</w:t>
            </w:r>
          </w:p>
        </w:tc>
        <w:tc>
          <w:tcPr>
            <w:tcW w:w="1487" w:type="dxa"/>
          </w:tcPr>
          <w:p w:rsidR="00AF67C7" w:rsidRDefault="00E81A5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2070" w:type="dxa"/>
          </w:tcPr>
          <w:p w:rsidR="00AF67C7" w:rsidRDefault="00E81A5D" w:rsidP="0063061A">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8 videos</w:t>
            </w:r>
          </w:p>
        </w:tc>
        <w:tc>
          <w:tcPr>
            <w:tcW w:w="2225" w:type="dxa"/>
          </w:tcPr>
          <w:p w:rsidR="00AF67C7" w:rsidRDefault="00E81A5D" w:rsidP="00011886">
            <w:pPr>
              <w:shd w:val="clear" w:color="auto" w:fill="FFFFFF" w:themeFill="background1"/>
              <w:rPr>
                <w:rFonts w:ascii="Times New Roman" w:eastAsia="Times New Roman" w:hAnsi="Times New Roman" w:cs="Times New Roman"/>
                <w:sz w:val="24"/>
                <w:szCs w:val="24"/>
              </w:rPr>
            </w:pPr>
            <w:r>
              <w:rPr>
                <w:rFonts w:ascii="Times New Roman" w:eastAsia="Times New Roman" w:hAnsi="Times New Roman" w:cs="Times New Roman"/>
                <w:sz w:val="24"/>
                <w:szCs w:val="24"/>
              </w:rPr>
              <w:t>4000</w:t>
            </w:r>
          </w:p>
        </w:tc>
      </w:tr>
      <w:tr w:rsidR="00175BCC" w:rsidRPr="00175BCC" w:rsidTr="00A742B1">
        <w:trPr>
          <w:trHeight w:val="377"/>
        </w:trPr>
        <w:tc>
          <w:tcPr>
            <w:tcW w:w="7017" w:type="dxa"/>
            <w:gridSpan w:val="4"/>
          </w:tcPr>
          <w:p w:rsidR="00175BCC" w:rsidRPr="00E139B3" w:rsidRDefault="00175BCC" w:rsidP="0006510B">
            <w:pPr>
              <w:jc w:val="center"/>
              <w:rPr>
                <w:rFonts w:ascii="Times New Roman" w:eastAsia="Times New Roman" w:hAnsi="Times New Roman" w:cs="Times New Roman"/>
                <w:b/>
                <w:sz w:val="24"/>
                <w:szCs w:val="24"/>
                <w:highlight w:val="yellow"/>
              </w:rPr>
            </w:pPr>
            <w:r w:rsidRPr="00B752ED">
              <w:rPr>
                <w:rFonts w:ascii="Times New Roman" w:eastAsia="Times New Roman" w:hAnsi="Times New Roman" w:cs="Times New Roman"/>
                <w:b/>
                <w:sz w:val="24"/>
                <w:szCs w:val="24"/>
              </w:rPr>
              <w:t xml:space="preserve">Grand Total </w:t>
            </w:r>
          </w:p>
        </w:tc>
        <w:tc>
          <w:tcPr>
            <w:tcW w:w="2225" w:type="dxa"/>
          </w:tcPr>
          <w:p w:rsidR="00175BCC" w:rsidRPr="00E139B3" w:rsidRDefault="00B752ED" w:rsidP="00491A3E">
            <w:pPr>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Rs.</w:t>
            </w:r>
            <w:r w:rsidR="00491A3E">
              <w:rPr>
                <w:rFonts w:ascii="Times New Roman" w:eastAsia="Times New Roman" w:hAnsi="Times New Roman" w:cs="Times New Roman"/>
                <w:sz w:val="24"/>
                <w:szCs w:val="24"/>
              </w:rPr>
              <w:t>3,04,000</w:t>
            </w:r>
            <w:r w:rsidR="007C5102">
              <w:rPr>
                <w:rFonts w:ascii="Times New Roman" w:eastAsia="Times New Roman" w:hAnsi="Times New Roman" w:cs="Times New Roman"/>
                <w:sz w:val="24"/>
                <w:szCs w:val="24"/>
              </w:rPr>
              <w:t>/-</w:t>
            </w:r>
          </w:p>
        </w:tc>
      </w:tr>
    </w:tbl>
    <w:p w:rsidR="00175BCC" w:rsidRPr="00175BCC" w:rsidRDefault="00175BCC" w:rsidP="00175BCC">
      <w:pPr>
        <w:shd w:val="clear" w:color="auto" w:fill="FFFFFF" w:themeFill="background1"/>
        <w:jc w:val="center"/>
        <w:rPr>
          <w:rFonts w:ascii="Times New Roman" w:eastAsia="Times New Roman" w:hAnsi="Times New Roman" w:cs="Times New Roman"/>
          <w:b/>
          <w:sz w:val="24"/>
          <w:szCs w:val="24"/>
        </w:rPr>
      </w:pPr>
    </w:p>
    <w:p w:rsidR="00175BCC" w:rsidRPr="00175BCC" w:rsidRDefault="00175BCC" w:rsidP="00175BCC">
      <w:pPr>
        <w:shd w:val="clear" w:color="auto" w:fill="FFFFFF" w:themeFill="background1"/>
        <w:rPr>
          <w:rFonts w:ascii="Times New Roman" w:eastAsia="Times New Roman" w:hAnsi="Times New Roman" w:cs="Times New Roman"/>
          <w:b/>
          <w:sz w:val="24"/>
          <w:szCs w:val="24"/>
        </w:rPr>
      </w:pPr>
    </w:p>
    <w:sectPr w:rsidR="00175BCC" w:rsidRPr="00175BC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510B"/>
    <w:rsid w:val="000667D4"/>
    <w:rsid w:val="00073A10"/>
    <w:rsid w:val="000C4619"/>
    <w:rsid w:val="00175BCC"/>
    <w:rsid w:val="001D4C3D"/>
    <w:rsid w:val="0022766A"/>
    <w:rsid w:val="0024445F"/>
    <w:rsid w:val="00252BF9"/>
    <w:rsid w:val="00270AD0"/>
    <w:rsid w:val="0032434A"/>
    <w:rsid w:val="00355677"/>
    <w:rsid w:val="00373F4D"/>
    <w:rsid w:val="00387799"/>
    <w:rsid w:val="003C3677"/>
    <w:rsid w:val="003E0EB4"/>
    <w:rsid w:val="00462828"/>
    <w:rsid w:val="00491A3E"/>
    <w:rsid w:val="00497E4C"/>
    <w:rsid w:val="004D14DD"/>
    <w:rsid w:val="004D7C9C"/>
    <w:rsid w:val="00513314"/>
    <w:rsid w:val="005639DD"/>
    <w:rsid w:val="005A6EE8"/>
    <w:rsid w:val="005D4813"/>
    <w:rsid w:val="005D7DC3"/>
    <w:rsid w:val="005F0041"/>
    <w:rsid w:val="0063061A"/>
    <w:rsid w:val="006472F0"/>
    <w:rsid w:val="006D383C"/>
    <w:rsid w:val="0070447A"/>
    <w:rsid w:val="00725589"/>
    <w:rsid w:val="00754CAC"/>
    <w:rsid w:val="007611FC"/>
    <w:rsid w:val="0077531F"/>
    <w:rsid w:val="007922C5"/>
    <w:rsid w:val="007C5102"/>
    <w:rsid w:val="007C6500"/>
    <w:rsid w:val="00822ECE"/>
    <w:rsid w:val="00923987"/>
    <w:rsid w:val="00923D1F"/>
    <w:rsid w:val="0096194F"/>
    <w:rsid w:val="00A60A88"/>
    <w:rsid w:val="00A67290"/>
    <w:rsid w:val="00A742B1"/>
    <w:rsid w:val="00A76DD7"/>
    <w:rsid w:val="00AE1545"/>
    <w:rsid w:val="00AE4582"/>
    <w:rsid w:val="00AF67C7"/>
    <w:rsid w:val="00B0038E"/>
    <w:rsid w:val="00B752ED"/>
    <w:rsid w:val="00C16891"/>
    <w:rsid w:val="00C46E38"/>
    <w:rsid w:val="00C64E92"/>
    <w:rsid w:val="00C66800"/>
    <w:rsid w:val="00C825DC"/>
    <w:rsid w:val="00CD5B09"/>
    <w:rsid w:val="00CF76A4"/>
    <w:rsid w:val="00D0386D"/>
    <w:rsid w:val="00D2196A"/>
    <w:rsid w:val="00D22C62"/>
    <w:rsid w:val="00D237A3"/>
    <w:rsid w:val="00D2511F"/>
    <w:rsid w:val="00D31F38"/>
    <w:rsid w:val="00D65E44"/>
    <w:rsid w:val="00E139B3"/>
    <w:rsid w:val="00E23E4C"/>
    <w:rsid w:val="00E473DB"/>
    <w:rsid w:val="00E52945"/>
    <w:rsid w:val="00E56CF3"/>
    <w:rsid w:val="00E81A5D"/>
    <w:rsid w:val="00EF65E2"/>
    <w:rsid w:val="00F12ECF"/>
    <w:rsid w:val="00FA7C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38</cp:revision>
  <dcterms:created xsi:type="dcterms:W3CDTF">2019-01-03T06:54:00Z</dcterms:created>
  <dcterms:modified xsi:type="dcterms:W3CDTF">2019-11-27T06:07:00Z</dcterms:modified>
</cp:coreProperties>
</file>