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252BF9" w:rsidRPr="00890958" w:rsidRDefault="006D383C" w:rsidP="006D383C">
      <w:pPr>
        <w:rPr>
          <w:rFonts w:ascii="Times New Roman" w:hAnsi="Times New Roman" w:cs="Times New Roman"/>
          <w:b/>
          <w:sz w:val="24"/>
          <w:szCs w:val="24"/>
        </w:rPr>
      </w:pPr>
      <w:r w:rsidRPr="00890958">
        <w:rPr>
          <w:rFonts w:ascii="Times New Roman" w:hAnsi="Times New Roman" w:cs="Times New Roman"/>
          <w:b/>
          <w:sz w:val="24"/>
          <w:szCs w:val="24"/>
        </w:rPr>
        <w:t>1.1.2.3</w:t>
      </w:r>
    </w:p>
    <w:p w:rsidR="00252BF9" w:rsidRPr="00890958" w:rsidRDefault="00252BF9" w:rsidP="00252B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958">
        <w:rPr>
          <w:rFonts w:ascii="Times New Roman" w:hAnsi="Times New Roman" w:cs="Times New Roman"/>
          <w:b/>
          <w:sz w:val="24"/>
          <w:szCs w:val="24"/>
        </w:rPr>
        <w:t>Budget for RBSK Surgical Packages:</w:t>
      </w:r>
    </w:p>
    <w:p w:rsidR="00653AB3" w:rsidRPr="00890958" w:rsidRDefault="00653AB3" w:rsidP="00252B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AB3" w:rsidRPr="00890958" w:rsidRDefault="00653AB3" w:rsidP="00653AB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0958">
        <w:rPr>
          <w:rFonts w:ascii="Times New Roman" w:hAnsi="Times New Roman" w:cs="Times New Roman"/>
          <w:sz w:val="24"/>
          <w:szCs w:val="24"/>
        </w:rPr>
        <w:t xml:space="preserve">During FY 2019-20, a total of nineteen (19) children had undergone surgical correction of Congenital Heart Disease at </w:t>
      </w:r>
      <w:proofErr w:type="spellStart"/>
      <w:r w:rsidRPr="00890958">
        <w:rPr>
          <w:rFonts w:ascii="Times New Roman" w:hAnsi="Times New Roman" w:cs="Times New Roman"/>
          <w:sz w:val="24"/>
          <w:szCs w:val="24"/>
        </w:rPr>
        <w:t>Manipal</w:t>
      </w:r>
      <w:proofErr w:type="spellEnd"/>
      <w:r w:rsidRPr="00890958">
        <w:rPr>
          <w:rFonts w:ascii="Times New Roman" w:hAnsi="Times New Roman" w:cs="Times New Roman"/>
          <w:sz w:val="24"/>
          <w:szCs w:val="24"/>
        </w:rPr>
        <w:t xml:space="preserve"> Hospitals, Bangalore as per the Government of India Approved RBSK Model </w:t>
      </w:r>
      <w:proofErr w:type="spellStart"/>
      <w:r w:rsidRPr="00890958">
        <w:rPr>
          <w:rFonts w:ascii="Times New Roman" w:hAnsi="Times New Roman" w:cs="Times New Roman"/>
          <w:sz w:val="24"/>
          <w:szCs w:val="24"/>
        </w:rPr>
        <w:t>Costings</w:t>
      </w:r>
      <w:proofErr w:type="spellEnd"/>
      <w:r w:rsidRPr="00890958">
        <w:rPr>
          <w:rFonts w:ascii="Times New Roman" w:hAnsi="Times New Roman" w:cs="Times New Roman"/>
          <w:sz w:val="24"/>
          <w:szCs w:val="24"/>
        </w:rPr>
        <w:t xml:space="preserve"> and Procedures. </w:t>
      </w:r>
    </w:p>
    <w:p w:rsidR="00653AB3" w:rsidRPr="00890958" w:rsidRDefault="00E40247" w:rsidP="00653AB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may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kindly be noted that two (2) Congenital Heart Disease Screening Camps </w:t>
      </w:r>
      <w:r>
        <w:rPr>
          <w:rFonts w:ascii="Times New Roman" w:hAnsi="Times New Roman" w:cs="Times New Roman"/>
          <w:sz w:val="24"/>
          <w:szCs w:val="24"/>
        </w:rPr>
        <w:t>were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held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AB3" w:rsidRPr="00890958">
        <w:rPr>
          <w:rFonts w:ascii="Times New Roman" w:hAnsi="Times New Roman" w:cs="Times New Roman"/>
          <w:sz w:val="24"/>
          <w:szCs w:val="24"/>
        </w:rPr>
        <w:t>Aizawl</w:t>
      </w:r>
      <w:proofErr w:type="spellEnd"/>
      <w:r w:rsidR="00653AB3" w:rsidRPr="00890958">
        <w:rPr>
          <w:rFonts w:ascii="Times New Roman" w:hAnsi="Times New Roman" w:cs="Times New Roman"/>
          <w:sz w:val="24"/>
          <w:szCs w:val="24"/>
        </w:rPr>
        <w:t xml:space="preserve"> West DEIC in</w:t>
      </w:r>
      <w:r>
        <w:rPr>
          <w:rFonts w:ascii="Times New Roman" w:hAnsi="Times New Roman" w:cs="Times New Roman"/>
          <w:sz w:val="24"/>
          <w:szCs w:val="24"/>
        </w:rPr>
        <w:t xml:space="preserve"> the months of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May and November 2019</w:t>
      </w:r>
      <w:r>
        <w:rPr>
          <w:rFonts w:ascii="Times New Roman" w:hAnsi="Times New Roman" w:cs="Times New Roman"/>
          <w:sz w:val="24"/>
          <w:szCs w:val="24"/>
        </w:rPr>
        <w:t>, respectively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. Approximately a hundred cases are awaiting for Service Access at Tertiary Care </w:t>
      </w:r>
      <w:proofErr w:type="spellStart"/>
      <w:r w:rsidR="00653AB3" w:rsidRPr="00890958">
        <w:rPr>
          <w:rFonts w:ascii="Times New Roman" w:hAnsi="Times New Roman" w:cs="Times New Roman"/>
          <w:sz w:val="24"/>
          <w:szCs w:val="24"/>
        </w:rPr>
        <w:t>Centres</w:t>
      </w:r>
      <w:proofErr w:type="spellEnd"/>
      <w:r w:rsidR="00653AB3" w:rsidRPr="00890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namely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AB3" w:rsidRPr="00890958">
        <w:rPr>
          <w:rFonts w:ascii="Times New Roman" w:hAnsi="Times New Roman" w:cs="Times New Roman"/>
          <w:sz w:val="24"/>
          <w:szCs w:val="24"/>
        </w:rPr>
        <w:t>Manipal</w:t>
      </w:r>
      <w:proofErr w:type="spellEnd"/>
      <w:r w:rsidR="00653AB3" w:rsidRPr="00890958">
        <w:rPr>
          <w:rFonts w:ascii="Times New Roman" w:hAnsi="Times New Roman" w:cs="Times New Roman"/>
          <w:sz w:val="24"/>
          <w:szCs w:val="24"/>
        </w:rPr>
        <w:t xml:space="preserve"> Hospitals, Bangalore. In addition to this, till September 2019, 45 children </w:t>
      </w:r>
      <w:r>
        <w:rPr>
          <w:rFonts w:ascii="Times New Roman" w:hAnsi="Times New Roman" w:cs="Times New Roman"/>
          <w:sz w:val="24"/>
          <w:szCs w:val="24"/>
        </w:rPr>
        <w:t>suspected</w:t>
      </w:r>
      <w:r w:rsidR="00E843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with </w:t>
      </w:r>
      <w:r w:rsidRPr="00890958">
        <w:rPr>
          <w:rFonts w:ascii="Times New Roman" w:hAnsi="Times New Roman" w:cs="Times New Roman"/>
          <w:sz w:val="24"/>
          <w:szCs w:val="24"/>
        </w:rPr>
        <w:t xml:space="preserve">Congenital Heart Disease </w:t>
      </w:r>
      <w:r w:rsidR="00E84360">
        <w:rPr>
          <w:rFonts w:ascii="Times New Roman" w:hAnsi="Times New Roman" w:cs="Times New Roman"/>
          <w:sz w:val="24"/>
          <w:szCs w:val="24"/>
        </w:rPr>
        <w:t>by RBSK Dedicated Mobile Health Teams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across the districts 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are also awaiting for Confirmation. </w:t>
      </w:r>
    </w:p>
    <w:p w:rsidR="00653AB3" w:rsidRPr="00890958" w:rsidRDefault="00E40247" w:rsidP="00653AB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Among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many identified health condition under RBSK, Refractive Error</w:t>
      </w:r>
      <w:r w:rsidR="00DB67F6">
        <w:rPr>
          <w:rFonts w:ascii="Times New Roman" w:hAnsi="Times New Roman" w:cs="Times New Roman"/>
          <w:sz w:val="24"/>
          <w:szCs w:val="24"/>
        </w:rPr>
        <w:t xml:space="preserve"> 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(under Vision Impairment) is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major concern in the state (which is also </w:t>
      </w:r>
      <w:r>
        <w:rPr>
          <w:rFonts w:ascii="Times New Roman" w:hAnsi="Times New Roman" w:cs="Times New Roman"/>
          <w:sz w:val="24"/>
          <w:szCs w:val="24"/>
        </w:rPr>
        <w:t xml:space="preserve">clearly </w:t>
      </w:r>
      <w:r w:rsidR="00653AB3" w:rsidRPr="00890958">
        <w:rPr>
          <w:rFonts w:ascii="Times New Roman" w:hAnsi="Times New Roman" w:cs="Times New Roman"/>
          <w:sz w:val="24"/>
          <w:szCs w:val="24"/>
        </w:rPr>
        <w:t>reflected in RBSK Monthly Reporting Format</w:t>
      </w:r>
      <w:r w:rsidR="005B47C2">
        <w:rPr>
          <w:rFonts w:ascii="Times New Roman" w:hAnsi="Times New Roman" w:cs="Times New Roman"/>
          <w:sz w:val="24"/>
          <w:szCs w:val="24"/>
        </w:rPr>
        <w:t>,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 a sharp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hike in the number of Found Positive</w:t>
      </w:r>
      <w:r>
        <w:rPr>
          <w:rFonts w:ascii="Times New Roman" w:hAnsi="Times New Roman" w:cs="Times New Roman"/>
          <w:sz w:val="24"/>
          <w:szCs w:val="24"/>
        </w:rPr>
        <w:t xml:space="preserve"> cases</w:t>
      </w:r>
      <w:r w:rsidR="00653AB3" w:rsidRPr="00890958">
        <w:rPr>
          <w:rFonts w:ascii="Times New Roman" w:hAnsi="Times New Roman" w:cs="Times New Roman"/>
          <w:sz w:val="24"/>
          <w:szCs w:val="24"/>
        </w:rPr>
        <w:t>). Approximately thousand children are detected by RBSK Dedicated Mobile Health Team as requiring Spectacles for correction of Refractive E</w:t>
      </w:r>
      <w:r w:rsidR="007756A5" w:rsidRPr="00890958">
        <w:rPr>
          <w:rFonts w:ascii="Times New Roman" w:hAnsi="Times New Roman" w:cs="Times New Roman"/>
          <w:sz w:val="24"/>
          <w:szCs w:val="24"/>
        </w:rPr>
        <w:t>rror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. Spectacles to be </w:t>
      </w:r>
      <w:r>
        <w:rPr>
          <w:rFonts w:ascii="Times New Roman" w:hAnsi="Times New Roman" w:cs="Times New Roman"/>
          <w:sz w:val="24"/>
          <w:szCs w:val="24"/>
        </w:rPr>
        <w:t>provided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to children </w:t>
      </w:r>
      <w:r>
        <w:rPr>
          <w:rFonts w:ascii="Times New Roman" w:hAnsi="Times New Roman" w:cs="Times New Roman"/>
          <w:sz w:val="24"/>
          <w:szCs w:val="24"/>
        </w:rPr>
        <w:t>belonging to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low socio-economic condition is hereby proposed for only two hundred (200) children at the rate of Rs. 500/-</w:t>
      </w:r>
      <w:r w:rsidR="008C6031" w:rsidRPr="00890958">
        <w:rPr>
          <w:rFonts w:ascii="Times New Roman" w:hAnsi="Times New Roman" w:cs="Times New Roman"/>
          <w:sz w:val="24"/>
          <w:szCs w:val="24"/>
        </w:rPr>
        <w:t xml:space="preserve"> per Spectacle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( Rs. 350 for frame and Rs</w:t>
      </w:r>
      <w:r w:rsidR="008C6031" w:rsidRPr="008909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150 for lens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). Spectacles </w:t>
      </w:r>
      <w:r>
        <w:rPr>
          <w:rFonts w:ascii="Times New Roman" w:hAnsi="Times New Roman" w:cs="Times New Roman"/>
          <w:sz w:val="24"/>
          <w:szCs w:val="24"/>
        </w:rPr>
        <w:t xml:space="preserve">are proposed to be distributed using the two 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DEICs namely </w:t>
      </w:r>
      <w:proofErr w:type="spellStart"/>
      <w:r w:rsidR="00653AB3" w:rsidRPr="00890958">
        <w:rPr>
          <w:rFonts w:ascii="Times New Roman" w:hAnsi="Times New Roman" w:cs="Times New Roman"/>
          <w:sz w:val="24"/>
          <w:szCs w:val="24"/>
        </w:rPr>
        <w:t>Aizawl</w:t>
      </w:r>
      <w:proofErr w:type="spellEnd"/>
      <w:r w:rsidR="00653AB3" w:rsidRPr="00890958">
        <w:rPr>
          <w:rFonts w:ascii="Times New Roman" w:hAnsi="Times New Roman" w:cs="Times New Roman"/>
          <w:sz w:val="24"/>
          <w:szCs w:val="24"/>
        </w:rPr>
        <w:t xml:space="preserve"> West and </w:t>
      </w:r>
      <w:proofErr w:type="spellStart"/>
      <w:r w:rsidR="00653AB3" w:rsidRPr="00890958">
        <w:rPr>
          <w:rFonts w:ascii="Times New Roman" w:hAnsi="Times New Roman" w:cs="Times New Roman"/>
          <w:sz w:val="24"/>
          <w:szCs w:val="24"/>
        </w:rPr>
        <w:t>Lunglei</w:t>
      </w:r>
      <w:proofErr w:type="spellEnd"/>
      <w:r w:rsidR="00653AB3" w:rsidRPr="00890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 distribution point 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after Holistic </w:t>
      </w:r>
      <w:proofErr w:type="spellStart"/>
      <w:r w:rsidR="00653AB3" w:rsidRPr="00890958">
        <w:rPr>
          <w:rFonts w:ascii="Times New Roman" w:hAnsi="Times New Roman" w:cs="Times New Roman"/>
          <w:sz w:val="24"/>
          <w:szCs w:val="24"/>
        </w:rPr>
        <w:t>Assessement</w:t>
      </w:r>
      <w:proofErr w:type="spellEnd"/>
      <w:r w:rsidR="008C6031" w:rsidRPr="00890958">
        <w:rPr>
          <w:rFonts w:ascii="Times New Roman" w:hAnsi="Times New Roman" w:cs="Times New Roman"/>
          <w:sz w:val="24"/>
          <w:szCs w:val="24"/>
        </w:rPr>
        <w:t xml:space="preserve"> of the child</w:t>
      </w:r>
      <w:r w:rsidR="00653AB3" w:rsidRPr="00890958">
        <w:rPr>
          <w:rFonts w:ascii="Times New Roman" w:hAnsi="Times New Roman" w:cs="Times New Roman"/>
          <w:sz w:val="24"/>
          <w:szCs w:val="24"/>
        </w:rPr>
        <w:t xml:space="preserve"> by Health Professionals of DEIC.</w:t>
      </w:r>
    </w:p>
    <w:p w:rsidR="00252BF9" w:rsidRPr="00890958" w:rsidRDefault="00252BF9" w:rsidP="00252BF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ensure that identified children are managed adequately under RBSK for all selected health conditions of 4D’s, total fund amounting to Rs. </w:t>
      </w:r>
      <w:r w:rsidR="007756A5"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91.25 </w:t>
      </w:r>
      <w:proofErr w:type="spellStart"/>
      <w:r w:rsidR="007756A5"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>lakhs</w:t>
      </w:r>
      <w:proofErr w:type="spellEnd"/>
      <w:r w:rsidR="007756A5"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>only is hereby proposed for RBSK Surgical Package Fund under FMR Code</w:t>
      </w:r>
      <w:proofErr w:type="gramStart"/>
      <w:r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>:1.1.2.3</w:t>
      </w:r>
      <w:proofErr w:type="gramEnd"/>
      <w:r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FY</w:t>
      </w:r>
      <w:r w:rsidR="004E76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3AB3"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>2020-21</w:t>
      </w:r>
      <w:r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Estimations are as per expected number of cases and number of children </w:t>
      </w:r>
      <w:proofErr w:type="gramStart"/>
      <w:r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>awaiting</w:t>
      </w:r>
      <w:proofErr w:type="gramEnd"/>
      <w:r w:rsidRPr="00890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treatment.</w:t>
      </w:r>
    </w:p>
    <w:p w:rsidR="00252BF9" w:rsidRPr="00890958" w:rsidRDefault="00252BF9" w:rsidP="00252BF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2BF9" w:rsidRPr="00890958" w:rsidRDefault="00252BF9" w:rsidP="00252B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89095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BUDGET PROPOSED UNDER RBSK SURGICAL PACKAGE COSTING:</w:t>
      </w:r>
    </w:p>
    <w:p w:rsidR="00252BF9" w:rsidRPr="00890958" w:rsidRDefault="00252BF9" w:rsidP="00252B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</w:p>
    <w:tbl>
      <w:tblPr>
        <w:tblStyle w:val="TableGrid"/>
        <w:tblW w:w="10455" w:type="dxa"/>
        <w:tblLayout w:type="fixed"/>
        <w:tblLook w:val="04A0"/>
      </w:tblPr>
      <w:tblGrid>
        <w:gridCol w:w="840"/>
        <w:gridCol w:w="1516"/>
        <w:gridCol w:w="1317"/>
        <w:gridCol w:w="1651"/>
        <w:gridCol w:w="1457"/>
        <w:gridCol w:w="3674"/>
      </w:tblGrid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Disease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RBSK Model Costing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Estimated No for FY </w:t>
            </w:r>
            <w:r w:rsidR="0033123E" w:rsidRPr="00890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Estimated Rs in </w:t>
            </w:r>
            <w:proofErr w:type="spellStart"/>
            <w:r w:rsidRPr="0089095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Lakhs</w:t>
            </w:r>
            <w:proofErr w:type="spellEnd"/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bCs/>
                <w:color w:val="000000" w:themeColor="text1"/>
                <w:sz w:val="24"/>
                <w:szCs w:val="24"/>
                <w:lang w:val="en-IN"/>
              </w:rPr>
              <w:t>Remarks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Rheumatic Heart Disease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110000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Rare cases detected</w:t>
            </w:r>
            <w:r w:rsidR="00746EAF"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in state in the past 2-3 years, hence, </w:t>
            </w: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proposal is estimated for 1 child only.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Dental Conditions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300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0E1607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500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BE4244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890958" w:rsidP="003312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Approximately 4000 </w:t>
            </w:r>
            <w:r w:rsidR="00252BF9" w:rsidRPr="00890958">
              <w:rPr>
                <w:rFonts w:ascii="Times New Roman" w:hAnsi="Times New Roman" w:cs="Times New Roman"/>
                <w:color w:val="000000" w:themeColor="text1"/>
              </w:rPr>
              <w:t>dental cases requiring treatment detected in state, but proposal is estimated only for 50</w:t>
            </w:r>
            <w:r w:rsidR="00734DAC" w:rsidRPr="00890958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252BF9" w:rsidRPr="00890958">
              <w:rPr>
                <w:rFonts w:ascii="Times New Roman" w:hAnsi="Times New Roman" w:cs="Times New Roman"/>
                <w:color w:val="000000" w:themeColor="text1"/>
              </w:rPr>
              <w:t xml:space="preserve"> children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0958">
              <w:rPr>
                <w:rFonts w:ascii="Times New Roman" w:hAnsi="Times New Roman" w:cs="Times New Roman"/>
                <w:color w:val="000000" w:themeColor="text1"/>
              </w:rPr>
              <w:t>Otitis</w:t>
            </w:r>
            <w:proofErr w:type="spellEnd"/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 Media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10000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0E1607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BE4244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0.5</w:t>
            </w:r>
            <w:r w:rsidR="00252BF9" w:rsidRPr="0089095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Only few cases requiring surgical treatment detected in state in the past 2-3 years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Neural Tube Defect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35000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C31A57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0.</w:t>
            </w:r>
            <w:r w:rsidR="00C31A57" w:rsidRPr="00890958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Only 1 case detected in state in the </w:t>
            </w:r>
            <w:r w:rsidR="007B79BE" w:rsidRPr="00890958">
              <w:rPr>
                <w:rFonts w:ascii="Times New Roman" w:hAnsi="Times New Roman" w:cs="Times New Roman"/>
                <w:color w:val="000000" w:themeColor="text1"/>
              </w:rPr>
              <w:t>year 2019. Proposal is submitted for one child only.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Down Syndrome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0 </w:t>
            </w:r>
          </w:p>
          <w:p w:rsidR="00252BF9" w:rsidRPr="00890958" w:rsidRDefault="00252BF9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67007D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Only few down </w:t>
            </w:r>
            <w:proofErr w:type="gramStart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syndrome(</w:t>
            </w:r>
            <w:proofErr w:type="gramEnd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not requiring surgery) cases detected in state in the past 2-3 years. 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Cleft Lip + Cleft Palate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15000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0E1607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BE4244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890958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Only few cases detected in state in the past 2-3 years. 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2BF9" w:rsidRPr="00890958" w:rsidRDefault="00252BF9" w:rsidP="003312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2BF9" w:rsidRPr="00890958" w:rsidRDefault="00252BF9" w:rsidP="003312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18000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0E1607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BE4244" w:rsidP="0033123E">
            <w:pPr>
              <w:pStyle w:val="Defaul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</w:rPr>
              <w:t>2.7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Only few cases detected in state in the past 2-3 years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0958">
              <w:rPr>
                <w:rFonts w:ascii="Times New Roman" w:hAnsi="Times New Roman" w:cs="Times New Roman"/>
                <w:color w:val="000000" w:themeColor="text1"/>
              </w:rPr>
              <w:t>Talipes</w:t>
            </w:r>
            <w:proofErr w:type="spellEnd"/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 (Club foot)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3000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0E1607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20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BE4244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0.60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Approx.20-30 cases detected in state in the past 2-3 years &amp; treated at </w:t>
            </w:r>
            <w:proofErr w:type="spellStart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Lunglei</w:t>
            </w:r>
            <w:proofErr w:type="spellEnd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DH &amp; State Hospital every </w:t>
            </w:r>
            <w:proofErr w:type="spellStart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thursday</w:t>
            </w:r>
            <w:proofErr w:type="spellEnd"/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Development Dysplasia of the hip 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1000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0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0.0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No </w:t>
            </w:r>
            <w:r w:rsidR="00746EAF"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confirmation case </w:t>
            </w: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in state in the past 2-3 years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Congenital Heart Disease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160000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8862D5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35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8862D5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56</w:t>
            </w:r>
            <w:r w:rsidR="00C957DA"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.00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7F0E25" w:rsidP="0033123E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During April to September 2019, 19 children had unde</w:t>
            </w:r>
            <w:r w:rsid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rgone surgical corrections, </w:t>
            </w:r>
            <w:proofErr w:type="spellStart"/>
            <w:r w:rsid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andmore</w:t>
            </w:r>
            <w:proofErr w:type="spellEnd"/>
            <w:r w:rsid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than </w:t>
            </w:r>
            <w:proofErr w:type="gramStart"/>
            <w:r w:rsid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100 </w:t>
            </w: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confirmed</w:t>
            </w:r>
            <w:proofErr w:type="gramEnd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children are awaiting f</w:t>
            </w:r>
            <w:r w:rsid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or service access. Currently, 45</w:t>
            </w: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children detected by RBSK Dedicated Mobile Health Teams are </w:t>
            </w:r>
            <w:r w:rsidR="00746EAF"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also </w:t>
            </w:r>
            <w:proofErr w:type="gramStart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awaiting</w:t>
            </w:r>
            <w:proofErr w:type="gramEnd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for confirmation.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Congenital Deafness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2BF9" w:rsidRPr="00890958" w:rsidRDefault="00252BF9" w:rsidP="003312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2BF9" w:rsidRPr="00890958" w:rsidRDefault="00252BF9" w:rsidP="003312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0.30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Only few cases detected in state in the past 2-3 years</w:t>
            </w:r>
          </w:p>
        </w:tc>
      </w:tr>
      <w:tr w:rsidR="00252BF9" w:rsidRPr="00890958" w:rsidTr="0033123E">
        <w:trPr>
          <w:trHeight w:val="962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Congenital Cataract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0E1607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BE4244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1.00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Only few cases detected in state in the past 2-3 years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 xml:space="preserve">Retinopathy of prematurity </w:t>
            </w:r>
          </w:p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0.20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Rare condition in the past years, proposed for only 2 children</w:t>
            </w:r>
          </w:p>
        </w:tc>
      </w:tr>
      <w:tr w:rsidR="00252BF9" w:rsidRPr="00890958" w:rsidTr="0033123E">
        <w:trPr>
          <w:trHeight w:val="2062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Vision Impairment (Strabismus)</w:t>
            </w:r>
          </w:p>
          <w:p w:rsidR="00252BF9" w:rsidRPr="00890958" w:rsidRDefault="00252BF9" w:rsidP="003312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1.Single muscle surgery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8500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0.17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Only few cases detected in state in the past 2-3 years</w:t>
            </w:r>
          </w:p>
        </w:tc>
      </w:tr>
      <w:tr w:rsidR="00252BF9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2. two or more muscle surgery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11000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.33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BF9" w:rsidRPr="00890958" w:rsidRDefault="00252BF9" w:rsidP="0033123E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Only few cases detected in state in the past 2-3 years</w:t>
            </w:r>
          </w:p>
        </w:tc>
      </w:tr>
      <w:tr w:rsidR="0033123E" w:rsidRPr="00890958" w:rsidTr="0033123E">
        <w:trPr>
          <w:trHeight w:val="288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23E" w:rsidRPr="00890958" w:rsidRDefault="0033123E" w:rsidP="003312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23E" w:rsidRPr="00890958" w:rsidRDefault="0033123E" w:rsidP="0033123E">
            <w:pPr>
              <w:pStyle w:val="Default"/>
              <w:rPr>
                <w:rFonts w:ascii="Times New Roman" w:hAnsi="Times New Roman" w:cs="Times New Roman"/>
                <w:color w:val="000000" w:themeColor="text1"/>
              </w:rPr>
            </w:pPr>
            <w:r w:rsidRPr="00890958">
              <w:rPr>
                <w:rFonts w:ascii="Times New Roman" w:hAnsi="Times New Roman" w:cs="Times New Roman"/>
                <w:color w:val="000000" w:themeColor="text1"/>
              </w:rPr>
              <w:t>3. Spectacles for Refractive Error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23E" w:rsidRPr="00890958" w:rsidRDefault="0033123E" w:rsidP="0033123E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N.A. </w:t>
            </w:r>
          </w:p>
          <w:p w:rsidR="0033123E" w:rsidRPr="00890958" w:rsidRDefault="00E40247" w:rsidP="0033123E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Proposed 500 (@150 per lens</w:t>
            </w:r>
            <w:r w:rsidR="0033123E"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&amp; @350 per frame)</w:t>
            </w:r>
          </w:p>
        </w:tc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3123E" w:rsidRPr="00890958" w:rsidRDefault="0033123E" w:rsidP="0033123E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200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23E" w:rsidRPr="00890958" w:rsidRDefault="0033123E" w:rsidP="0033123E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1.00</w:t>
            </w:r>
          </w:p>
        </w:tc>
        <w:tc>
          <w:tcPr>
            <w:tcW w:w="3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23E" w:rsidRPr="00890958" w:rsidRDefault="0033123E" w:rsidP="00E40247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</w:pPr>
            <w:r w:rsidRPr="00890958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val="en-IN"/>
              </w:rPr>
              <w:t>Refractive Error</w:t>
            </w: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is the most common Vision Impairment cases detected in the state. In the year FY 2019-20, from April to </w:t>
            </w:r>
            <w:r w:rsidR="00E4024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September, more than a thousand</w:t>
            </w: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cases requiring correction of Error by Spectacles </w:t>
            </w:r>
            <w:r w:rsidR="00E4024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were</w:t>
            </w: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detected. Only 200 spectacles are proposed to be disseminated </w:t>
            </w:r>
            <w:r w:rsidR="00E4024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through the</w:t>
            </w:r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two DEIC’s namely, </w:t>
            </w:r>
            <w:proofErr w:type="spellStart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Aizawl</w:t>
            </w:r>
            <w:proofErr w:type="spellEnd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West and </w:t>
            </w:r>
            <w:proofErr w:type="spellStart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>Lunglei</w:t>
            </w:r>
            <w:proofErr w:type="spellEnd"/>
            <w:r w:rsidRPr="0089095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IN"/>
              </w:rPr>
              <w:t xml:space="preserve"> after Holistic Assessment by DEIC Health professionals, only to children from low socio-economic condition of the state. </w:t>
            </w:r>
          </w:p>
        </w:tc>
      </w:tr>
      <w:tr w:rsidR="0033123E" w:rsidTr="003312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2"/>
        </w:trPr>
        <w:tc>
          <w:tcPr>
            <w:tcW w:w="5325" w:type="dxa"/>
            <w:gridSpan w:val="4"/>
          </w:tcPr>
          <w:p w:rsidR="0033123E" w:rsidRPr="00890958" w:rsidRDefault="0033123E" w:rsidP="0033123E">
            <w:pPr>
              <w:ind w:left="1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09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TOTAL </w:t>
            </w:r>
          </w:p>
        </w:tc>
        <w:tc>
          <w:tcPr>
            <w:tcW w:w="1457" w:type="dxa"/>
          </w:tcPr>
          <w:p w:rsidR="0033123E" w:rsidRPr="00890958" w:rsidRDefault="005E207F" w:rsidP="0033123E">
            <w:pPr>
              <w:ind w:left="1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67.25</w:t>
            </w:r>
          </w:p>
        </w:tc>
        <w:tc>
          <w:tcPr>
            <w:tcW w:w="3673" w:type="dxa"/>
          </w:tcPr>
          <w:p w:rsidR="0033123E" w:rsidRPr="00890958" w:rsidRDefault="0033123E" w:rsidP="0033123E">
            <w:pPr>
              <w:ind w:left="1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52BF9" w:rsidRPr="00175BCC" w:rsidRDefault="00252BF9" w:rsidP="00252BF9">
      <w:pPr>
        <w:rPr>
          <w:rFonts w:ascii="Times New Roman" w:hAnsi="Times New Roman" w:cs="Times New Roman"/>
          <w:sz w:val="24"/>
          <w:szCs w:val="24"/>
        </w:rPr>
      </w:pPr>
    </w:p>
    <w:sectPr w:rsidR="00252BF9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52BF9"/>
    <w:rsid w:val="00011886"/>
    <w:rsid w:val="000158B8"/>
    <w:rsid w:val="000667D4"/>
    <w:rsid w:val="000B1BCE"/>
    <w:rsid w:val="000E1607"/>
    <w:rsid w:val="00175BCC"/>
    <w:rsid w:val="001F438E"/>
    <w:rsid w:val="0024445F"/>
    <w:rsid w:val="00252BF9"/>
    <w:rsid w:val="00253C8C"/>
    <w:rsid w:val="00280F4F"/>
    <w:rsid w:val="0033123E"/>
    <w:rsid w:val="0034063A"/>
    <w:rsid w:val="00373F4D"/>
    <w:rsid w:val="00387799"/>
    <w:rsid w:val="00387B06"/>
    <w:rsid w:val="003C3677"/>
    <w:rsid w:val="003E0EB4"/>
    <w:rsid w:val="004842CE"/>
    <w:rsid w:val="00497E4C"/>
    <w:rsid w:val="004D7C9C"/>
    <w:rsid w:val="004E767E"/>
    <w:rsid w:val="005639DD"/>
    <w:rsid w:val="00591B5A"/>
    <w:rsid w:val="005A6EE8"/>
    <w:rsid w:val="005B47C2"/>
    <w:rsid w:val="005D4813"/>
    <w:rsid w:val="005D7DC3"/>
    <w:rsid w:val="005E207F"/>
    <w:rsid w:val="00610F41"/>
    <w:rsid w:val="006472F0"/>
    <w:rsid w:val="00653AB3"/>
    <w:rsid w:val="0067007D"/>
    <w:rsid w:val="006D383C"/>
    <w:rsid w:val="006E1364"/>
    <w:rsid w:val="00725589"/>
    <w:rsid w:val="00734DAC"/>
    <w:rsid w:val="00746EAF"/>
    <w:rsid w:val="00754CAC"/>
    <w:rsid w:val="0077531F"/>
    <w:rsid w:val="007756A5"/>
    <w:rsid w:val="007B79BE"/>
    <w:rsid w:val="007F0E25"/>
    <w:rsid w:val="007F5515"/>
    <w:rsid w:val="00836F73"/>
    <w:rsid w:val="008862D5"/>
    <w:rsid w:val="00890958"/>
    <w:rsid w:val="008C6031"/>
    <w:rsid w:val="0096194F"/>
    <w:rsid w:val="00A60A88"/>
    <w:rsid w:val="00AA6BD1"/>
    <w:rsid w:val="00AE1545"/>
    <w:rsid w:val="00AE4582"/>
    <w:rsid w:val="00AF6A95"/>
    <w:rsid w:val="00B0038E"/>
    <w:rsid w:val="00B06B0E"/>
    <w:rsid w:val="00B64417"/>
    <w:rsid w:val="00BE4244"/>
    <w:rsid w:val="00C31A57"/>
    <w:rsid w:val="00C46E38"/>
    <w:rsid w:val="00C66800"/>
    <w:rsid w:val="00C825DC"/>
    <w:rsid w:val="00C957DA"/>
    <w:rsid w:val="00C966D2"/>
    <w:rsid w:val="00CD5B09"/>
    <w:rsid w:val="00CF76A4"/>
    <w:rsid w:val="00D0386D"/>
    <w:rsid w:val="00D2196A"/>
    <w:rsid w:val="00D223A0"/>
    <w:rsid w:val="00D22C62"/>
    <w:rsid w:val="00D31F38"/>
    <w:rsid w:val="00DB67F6"/>
    <w:rsid w:val="00E40247"/>
    <w:rsid w:val="00E52945"/>
    <w:rsid w:val="00E84360"/>
    <w:rsid w:val="00EF65E2"/>
    <w:rsid w:val="00F1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53</cp:revision>
  <dcterms:created xsi:type="dcterms:W3CDTF">2019-01-03T06:54:00Z</dcterms:created>
  <dcterms:modified xsi:type="dcterms:W3CDTF">2019-11-27T08:33:00Z</dcterms:modified>
</cp:coreProperties>
</file>