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78" w:type="dxa"/>
        <w:tblInd w:w="-522" w:type="dxa"/>
        <w:tblLook w:val="04A0"/>
      </w:tblPr>
      <w:tblGrid>
        <w:gridCol w:w="1128"/>
        <w:gridCol w:w="2656"/>
        <w:gridCol w:w="1382"/>
        <w:gridCol w:w="1355"/>
        <w:gridCol w:w="1380"/>
        <w:gridCol w:w="3077"/>
      </w:tblGrid>
      <w:tr w:rsidR="00C60119" w:rsidRPr="00FC7082" w:rsidTr="00572FCD">
        <w:trPr>
          <w:trHeight w:val="355"/>
        </w:trPr>
        <w:tc>
          <w:tcPr>
            <w:tcW w:w="1128" w:type="dxa"/>
            <w:vAlign w:val="center"/>
          </w:tcPr>
          <w:p w:rsidR="00C60119" w:rsidRPr="00FC7082" w:rsidRDefault="00C60119" w:rsidP="004E6B8E">
            <w:pPr>
              <w:jc w:val="center"/>
              <w:rPr>
                <w:b/>
                <w:sz w:val="24"/>
                <w:szCs w:val="24"/>
              </w:rPr>
            </w:pPr>
            <w:r w:rsidRPr="00FC708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656" w:type="dxa"/>
            <w:vAlign w:val="center"/>
          </w:tcPr>
          <w:p w:rsidR="00C60119" w:rsidRPr="00FC7082" w:rsidRDefault="00C60119" w:rsidP="00FC7082">
            <w:pPr>
              <w:jc w:val="center"/>
              <w:rPr>
                <w:b/>
                <w:sz w:val="24"/>
                <w:szCs w:val="24"/>
              </w:rPr>
            </w:pPr>
            <w:r w:rsidRPr="00FC7082">
              <w:rPr>
                <w:b/>
                <w:sz w:val="24"/>
                <w:szCs w:val="24"/>
              </w:rPr>
              <w:t>Activity Proposed</w:t>
            </w:r>
          </w:p>
        </w:tc>
        <w:tc>
          <w:tcPr>
            <w:tcW w:w="1382" w:type="dxa"/>
            <w:vAlign w:val="center"/>
          </w:tcPr>
          <w:p w:rsidR="00C60119" w:rsidRPr="00FC7082" w:rsidRDefault="00C60119" w:rsidP="00FC7082">
            <w:pPr>
              <w:jc w:val="center"/>
              <w:rPr>
                <w:b/>
                <w:sz w:val="24"/>
                <w:szCs w:val="24"/>
              </w:rPr>
            </w:pPr>
            <w:r w:rsidRPr="00FC7082">
              <w:rPr>
                <w:b/>
                <w:sz w:val="24"/>
                <w:szCs w:val="24"/>
              </w:rPr>
              <w:t>Target Unit</w:t>
            </w:r>
            <w:r w:rsidR="00C546EA">
              <w:rPr>
                <w:b/>
                <w:sz w:val="24"/>
                <w:szCs w:val="24"/>
              </w:rPr>
              <w:t xml:space="preserve"> (Nos.)</w:t>
            </w:r>
          </w:p>
        </w:tc>
        <w:tc>
          <w:tcPr>
            <w:tcW w:w="1355" w:type="dxa"/>
            <w:vAlign w:val="center"/>
          </w:tcPr>
          <w:p w:rsidR="00C60119" w:rsidRPr="00FC7082" w:rsidRDefault="00C60119" w:rsidP="00FC7082">
            <w:pPr>
              <w:jc w:val="center"/>
              <w:rPr>
                <w:b/>
                <w:sz w:val="24"/>
                <w:szCs w:val="24"/>
              </w:rPr>
            </w:pPr>
            <w:r w:rsidRPr="00FC7082">
              <w:rPr>
                <w:b/>
                <w:sz w:val="24"/>
                <w:szCs w:val="24"/>
              </w:rPr>
              <w:t>Unit Cost</w:t>
            </w:r>
            <w:r w:rsidR="00C546EA">
              <w:rPr>
                <w:b/>
                <w:sz w:val="24"/>
                <w:szCs w:val="24"/>
              </w:rPr>
              <w:t xml:space="preserve"> (Rs.)</w:t>
            </w:r>
          </w:p>
        </w:tc>
        <w:tc>
          <w:tcPr>
            <w:tcW w:w="1380" w:type="dxa"/>
            <w:vAlign w:val="center"/>
          </w:tcPr>
          <w:p w:rsidR="00C546EA" w:rsidRDefault="00C60119" w:rsidP="00FD55B0">
            <w:pPr>
              <w:jc w:val="center"/>
              <w:rPr>
                <w:b/>
                <w:sz w:val="24"/>
                <w:szCs w:val="24"/>
              </w:rPr>
            </w:pPr>
            <w:r w:rsidRPr="00FC7082">
              <w:rPr>
                <w:b/>
                <w:sz w:val="24"/>
                <w:szCs w:val="24"/>
              </w:rPr>
              <w:t>Total</w:t>
            </w:r>
          </w:p>
          <w:p w:rsidR="00C60119" w:rsidRPr="00FC7082" w:rsidRDefault="00C546EA" w:rsidP="00FD5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(Rs.)</w:t>
            </w:r>
          </w:p>
        </w:tc>
        <w:tc>
          <w:tcPr>
            <w:tcW w:w="3077" w:type="dxa"/>
            <w:vAlign w:val="center"/>
          </w:tcPr>
          <w:p w:rsidR="00C60119" w:rsidRPr="00FC7082" w:rsidRDefault="00C60119" w:rsidP="00C60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Remarks</w:t>
            </w:r>
          </w:p>
        </w:tc>
      </w:tr>
      <w:tr w:rsidR="00C60119" w:rsidRPr="00FC7082" w:rsidTr="00572FCD">
        <w:trPr>
          <w:trHeight w:val="536"/>
        </w:trPr>
        <w:tc>
          <w:tcPr>
            <w:tcW w:w="1128" w:type="dxa"/>
            <w:vAlign w:val="center"/>
          </w:tcPr>
          <w:p w:rsidR="00C60119" w:rsidRPr="00FC7082" w:rsidRDefault="00572FCD" w:rsidP="004E6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11.24.3.2</w:t>
            </w:r>
          </w:p>
        </w:tc>
        <w:tc>
          <w:tcPr>
            <w:tcW w:w="2656" w:type="dxa"/>
            <w:vAlign w:val="center"/>
          </w:tcPr>
          <w:p w:rsidR="00C60119" w:rsidRPr="00FC7082" w:rsidRDefault="004E6B8E" w:rsidP="004E6B8E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Talkshows</w:t>
            </w:r>
            <w:proofErr w:type="spellEnd"/>
            <w:r w:rsidR="00C546EA">
              <w:rPr>
                <w:sz w:val="24"/>
                <w:szCs w:val="24"/>
              </w:rPr>
              <w:t xml:space="preserve"> for broadcast on local channels.</w:t>
            </w:r>
          </w:p>
        </w:tc>
        <w:tc>
          <w:tcPr>
            <w:tcW w:w="1382" w:type="dxa"/>
            <w:vAlign w:val="center"/>
          </w:tcPr>
          <w:p w:rsidR="00C60119" w:rsidRPr="00FC7082" w:rsidRDefault="00F8228F" w:rsidP="00F822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55" w:type="dxa"/>
            <w:vAlign w:val="center"/>
          </w:tcPr>
          <w:p w:rsidR="00C60119" w:rsidRPr="00FC7082" w:rsidRDefault="00F8228F" w:rsidP="00F822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380" w:type="dxa"/>
            <w:vAlign w:val="center"/>
          </w:tcPr>
          <w:p w:rsidR="00C60119" w:rsidRPr="00FC7082" w:rsidRDefault="00C546EA" w:rsidP="00FD5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480000</w:t>
            </w:r>
          </w:p>
        </w:tc>
        <w:tc>
          <w:tcPr>
            <w:tcW w:w="3077" w:type="dxa"/>
          </w:tcPr>
          <w:p w:rsidR="00C60119" w:rsidRDefault="00C546EA" w:rsidP="00C60119">
            <w:pPr>
              <w:pStyle w:val="ListParagraph"/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Broadcast of </w:t>
            </w:r>
            <w:proofErr w:type="spellStart"/>
            <w:r w:rsidR="00C60119">
              <w:rPr>
                <w:sz w:val="24"/>
                <w:szCs w:val="24"/>
              </w:rPr>
              <w:t>Talkshows</w:t>
            </w:r>
            <w:proofErr w:type="spellEnd"/>
            <w:r w:rsidR="00C60119">
              <w:rPr>
                <w:sz w:val="24"/>
                <w:szCs w:val="24"/>
              </w:rPr>
              <w:t xml:space="preserve"> t</w:t>
            </w:r>
            <w:r w:rsidR="00DA7164">
              <w:rPr>
                <w:sz w:val="24"/>
                <w:szCs w:val="24"/>
              </w:rPr>
              <w:t>wice a month on local channels (</w:t>
            </w:r>
            <w:proofErr w:type="spellStart"/>
            <w:r w:rsidR="00DA7164">
              <w:rPr>
                <w:sz w:val="24"/>
                <w:szCs w:val="24"/>
              </w:rPr>
              <w:t>Zonet</w:t>
            </w:r>
            <w:proofErr w:type="spellEnd"/>
            <w:r w:rsidR="00DA7164">
              <w:rPr>
                <w:sz w:val="24"/>
                <w:szCs w:val="24"/>
              </w:rPr>
              <w:t>&amp; LPS</w:t>
            </w:r>
            <w:r w:rsidR="00C60119">
              <w:rPr>
                <w:sz w:val="24"/>
                <w:szCs w:val="24"/>
              </w:rPr>
              <w:t xml:space="preserve">) where NHM </w:t>
            </w:r>
            <w:proofErr w:type="spellStart"/>
            <w:r w:rsidR="00C60119">
              <w:rPr>
                <w:sz w:val="24"/>
                <w:szCs w:val="24"/>
              </w:rPr>
              <w:t>programmes</w:t>
            </w:r>
            <w:proofErr w:type="spellEnd"/>
            <w:r w:rsidR="00C60119">
              <w:rPr>
                <w:sz w:val="24"/>
                <w:szCs w:val="24"/>
              </w:rPr>
              <w:t xml:space="preserve"> and its various activities and schemesare d</w:t>
            </w:r>
            <w:r w:rsidR="00DA7164">
              <w:rPr>
                <w:sz w:val="24"/>
                <w:szCs w:val="24"/>
              </w:rPr>
              <w:t>iscussed for general awareness @ Rs. 10000/- per episode 2 times a month x 2 local networks = Rs.  480000/-</w:t>
            </w:r>
            <w:r>
              <w:rPr>
                <w:sz w:val="24"/>
                <w:szCs w:val="24"/>
              </w:rPr>
              <w:t xml:space="preserve">. </w:t>
            </w:r>
          </w:p>
          <w:p w:rsidR="00C546EA" w:rsidRDefault="00C546EA" w:rsidP="00C60119">
            <w:pPr>
              <w:pStyle w:val="ListParagraph"/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proposal comes from State IEC Section as it is easier to coordinate with the local networks from one station as opposed to having to communicate with various </w:t>
            </w:r>
            <w:proofErr w:type="spellStart"/>
            <w:r>
              <w:rPr>
                <w:sz w:val="24"/>
                <w:szCs w:val="24"/>
              </w:rPr>
              <w:t>programmes</w:t>
            </w:r>
            <w:proofErr w:type="spellEnd"/>
            <w:r>
              <w:rPr>
                <w:sz w:val="24"/>
                <w:szCs w:val="24"/>
              </w:rPr>
              <w:t xml:space="preserve"> which can lead to confusion and oversights.</w:t>
            </w:r>
          </w:p>
          <w:p w:rsidR="00C60119" w:rsidRPr="00FC7082" w:rsidRDefault="00C60119" w:rsidP="00FC7082">
            <w:pPr>
              <w:rPr>
                <w:sz w:val="24"/>
                <w:szCs w:val="24"/>
              </w:rPr>
            </w:pPr>
          </w:p>
        </w:tc>
      </w:tr>
      <w:tr w:rsidR="00C60119" w:rsidRPr="00FC7082" w:rsidTr="00572FCD">
        <w:trPr>
          <w:trHeight w:val="536"/>
        </w:trPr>
        <w:tc>
          <w:tcPr>
            <w:tcW w:w="1128" w:type="dxa"/>
            <w:vAlign w:val="center"/>
          </w:tcPr>
          <w:p w:rsidR="00C60119" w:rsidRPr="00FC7082" w:rsidRDefault="00572FCD" w:rsidP="004E6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11.24.3.1</w:t>
            </w:r>
          </w:p>
        </w:tc>
        <w:tc>
          <w:tcPr>
            <w:tcW w:w="2656" w:type="dxa"/>
            <w:vAlign w:val="center"/>
          </w:tcPr>
          <w:p w:rsidR="00C60119" w:rsidRPr="00FC7082" w:rsidRDefault="00D64E7E" w:rsidP="00C601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Signage for Health Facilities </w:t>
            </w:r>
          </w:p>
        </w:tc>
        <w:tc>
          <w:tcPr>
            <w:tcW w:w="1382" w:type="dxa"/>
            <w:vAlign w:val="center"/>
          </w:tcPr>
          <w:p w:rsidR="00C60119" w:rsidRPr="00FC7082" w:rsidRDefault="002241F6" w:rsidP="00224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355" w:type="dxa"/>
            <w:vAlign w:val="center"/>
          </w:tcPr>
          <w:p w:rsidR="00C60119" w:rsidRPr="00FC7082" w:rsidRDefault="009D47A8" w:rsidP="00705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55B0">
              <w:rPr>
                <w:sz w:val="24"/>
                <w:szCs w:val="24"/>
              </w:rPr>
              <w:t>000</w:t>
            </w:r>
          </w:p>
        </w:tc>
        <w:tc>
          <w:tcPr>
            <w:tcW w:w="1380" w:type="dxa"/>
            <w:vAlign w:val="center"/>
          </w:tcPr>
          <w:p w:rsidR="00C60119" w:rsidRPr="00FC7082" w:rsidRDefault="009D47A8" w:rsidP="00FD5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55B0">
              <w:rPr>
                <w:sz w:val="24"/>
                <w:szCs w:val="24"/>
              </w:rPr>
              <w:t>000000</w:t>
            </w:r>
          </w:p>
        </w:tc>
        <w:tc>
          <w:tcPr>
            <w:tcW w:w="3077" w:type="dxa"/>
          </w:tcPr>
          <w:p w:rsidR="00C60119" w:rsidRPr="00FC7082" w:rsidRDefault="00D64E7E" w:rsidP="00D64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Signage to display at health facilities and offices for smart navigation and access.</w:t>
            </w:r>
          </w:p>
        </w:tc>
      </w:tr>
      <w:tr w:rsidR="00C60119" w:rsidRPr="00FC7082" w:rsidTr="00572FCD">
        <w:trPr>
          <w:trHeight w:val="536"/>
        </w:trPr>
        <w:tc>
          <w:tcPr>
            <w:tcW w:w="1128" w:type="dxa"/>
            <w:vAlign w:val="center"/>
          </w:tcPr>
          <w:p w:rsidR="00C60119" w:rsidRPr="00FC7082" w:rsidRDefault="00572FCD" w:rsidP="004E6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11.24.3.3</w:t>
            </w:r>
          </w:p>
        </w:tc>
        <w:tc>
          <w:tcPr>
            <w:tcW w:w="2656" w:type="dxa"/>
            <w:vAlign w:val="center"/>
          </w:tcPr>
          <w:p w:rsidR="00C60119" w:rsidRPr="00FC7082" w:rsidRDefault="00DA7164" w:rsidP="00FC7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Calendar</w:t>
            </w:r>
            <w:r w:rsidR="00253882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1382" w:type="dxa"/>
            <w:vAlign w:val="center"/>
          </w:tcPr>
          <w:p w:rsidR="00C60119" w:rsidRPr="00FC7082" w:rsidRDefault="00253882" w:rsidP="00797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355" w:type="dxa"/>
            <w:vAlign w:val="center"/>
          </w:tcPr>
          <w:p w:rsidR="00C60119" w:rsidRPr="00FC7082" w:rsidRDefault="00253882" w:rsidP="00797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80" w:type="dxa"/>
            <w:vAlign w:val="center"/>
          </w:tcPr>
          <w:p w:rsidR="00C60119" w:rsidRPr="00FC7082" w:rsidRDefault="00253882" w:rsidP="00FD5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</w:t>
            </w:r>
          </w:p>
        </w:tc>
        <w:tc>
          <w:tcPr>
            <w:tcW w:w="3077" w:type="dxa"/>
          </w:tcPr>
          <w:p w:rsidR="00C60119" w:rsidRPr="00FC7082" w:rsidRDefault="00253882" w:rsidP="005F49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Calendar for the year 2021 to be prepared and procured at the end of 2020 where NHM programs</w:t>
            </w:r>
            <w:r w:rsidR="005F4970">
              <w:rPr>
                <w:sz w:val="24"/>
                <w:szCs w:val="24"/>
              </w:rPr>
              <w:t xml:space="preserve">, activities as well as </w:t>
            </w:r>
            <w:r w:rsidR="00010E0F">
              <w:rPr>
                <w:sz w:val="24"/>
                <w:szCs w:val="24"/>
              </w:rPr>
              <w:t xml:space="preserve">important </w:t>
            </w:r>
            <w:r w:rsidR="005F4970">
              <w:rPr>
                <w:sz w:val="24"/>
                <w:szCs w:val="24"/>
              </w:rPr>
              <w:t>information and contact details of health institutions</w:t>
            </w:r>
            <w:r w:rsidR="007979F1">
              <w:rPr>
                <w:sz w:val="24"/>
                <w:szCs w:val="24"/>
              </w:rPr>
              <w:t xml:space="preserve"> etc. </w:t>
            </w:r>
            <w:r w:rsidR="005F4970">
              <w:rPr>
                <w:sz w:val="24"/>
                <w:szCs w:val="24"/>
              </w:rPr>
              <w:t xml:space="preserve"> can be seen.</w:t>
            </w:r>
            <w:r w:rsidR="00CA35EE">
              <w:rPr>
                <w:sz w:val="24"/>
                <w:szCs w:val="24"/>
              </w:rPr>
              <w:t xml:space="preserve"> For distributi</w:t>
            </w:r>
            <w:r w:rsidR="00010E0F">
              <w:rPr>
                <w:sz w:val="24"/>
                <w:szCs w:val="24"/>
              </w:rPr>
              <w:t xml:space="preserve">on to all health facilities and institutions. </w:t>
            </w:r>
          </w:p>
        </w:tc>
      </w:tr>
      <w:tr w:rsidR="00572FCD" w:rsidRPr="00FC7082" w:rsidTr="00572FCD">
        <w:trPr>
          <w:trHeight w:val="536"/>
        </w:trPr>
        <w:tc>
          <w:tcPr>
            <w:tcW w:w="1128" w:type="dxa"/>
            <w:vAlign w:val="center"/>
          </w:tcPr>
          <w:p w:rsidR="00572FCD" w:rsidRPr="00FC7082" w:rsidRDefault="00572FCD" w:rsidP="00572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11.24.3.3</w:t>
            </w:r>
          </w:p>
        </w:tc>
        <w:tc>
          <w:tcPr>
            <w:tcW w:w="2656" w:type="dxa"/>
            <w:vAlign w:val="center"/>
          </w:tcPr>
          <w:p w:rsidR="00572FCD" w:rsidRPr="00FC7082" w:rsidRDefault="00572FCD" w:rsidP="00572F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Sponsorship/Display Advertisements (Banners)</w:t>
            </w:r>
          </w:p>
        </w:tc>
        <w:tc>
          <w:tcPr>
            <w:tcW w:w="1382" w:type="dxa"/>
            <w:vAlign w:val="center"/>
          </w:tcPr>
          <w:p w:rsidR="00572FCD" w:rsidRPr="00FC7082" w:rsidRDefault="00572FCD" w:rsidP="00572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55" w:type="dxa"/>
            <w:vAlign w:val="center"/>
          </w:tcPr>
          <w:p w:rsidR="00572FCD" w:rsidRPr="00FC7082" w:rsidRDefault="00572FCD" w:rsidP="00572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380" w:type="dxa"/>
            <w:vAlign w:val="center"/>
          </w:tcPr>
          <w:p w:rsidR="00572FCD" w:rsidRPr="00FC7082" w:rsidRDefault="00572FCD" w:rsidP="00572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</w:t>
            </w:r>
          </w:p>
        </w:tc>
        <w:tc>
          <w:tcPr>
            <w:tcW w:w="3077" w:type="dxa"/>
          </w:tcPr>
          <w:p w:rsidR="00572FCD" w:rsidRPr="00FC7082" w:rsidRDefault="00572FCD" w:rsidP="00572F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Proposal for sponsorship of big events that have wide reach with an array of audience, through displaying of collective IEC materials from various </w:t>
            </w:r>
            <w:proofErr w:type="spellStart"/>
            <w:r>
              <w:rPr>
                <w:sz w:val="24"/>
                <w:szCs w:val="24"/>
              </w:rPr>
              <w:t>programmes</w:t>
            </w:r>
            <w:proofErr w:type="spellEnd"/>
            <w:r>
              <w:rPr>
                <w:sz w:val="24"/>
                <w:szCs w:val="24"/>
              </w:rPr>
              <w:t xml:space="preserve"> foe awareness depending on the event. Banners @ Rs 3000. </w:t>
            </w:r>
          </w:p>
        </w:tc>
      </w:tr>
      <w:tr w:rsidR="00572FCD" w:rsidRPr="00FC7082" w:rsidTr="00572FCD">
        <w:trPr>
          <w:trHeight w:val="570"/>
        </w:trPr>
        <w:tc>
          <w:tcPr>
            <w:tcW w:w="1128" w:type="dxa"/>
            <w:vAlign w:val="center"/>
          </w:tcPr>
          <w:p w:rsidR="00572FCD" w:rsidRPr="00FC7082" w:rsidRDefault="00572FCD" w:rsidP="00572FCD">
            <w:pPr>
              <w:jc w:val="center"/>
              <w:rPr>
                <w:sz w:val="24"/>
                <w:szCs w:val="24"/>
              </w:rPr>
            </w:pPr>
            <w:bookmarkStart w:id="0" w:name="_GoBack" w:colFirst="0" w:colLast="0"/>
            <w:r>
              <w:rPr>
                <w:sz w:val="24"/>
                <w:szCs w:val="24"/>
              </w:rPr>
              <w:t>11.24.3.3</w:t>
            </w:r>
          </w:p>
        </w:tc>
        <w:tc>
          <w:tcPr>
            <w:tcW w:w="2656" w:type="dxa"/>
            <w:vAlign w:val="center"/>
          </w:tcPr>
          <w:p w:rsidR="00572FCD" w:rsidRPr="00FC7082" w:rsidRDefault="00572FCD" w:rsidP="00572F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Sponsorship/Display Advertisements (TV Spot/Scrolls)</w:t>
            </w:r>
          </w:p>
        </w:tc>
        <w:tc>
          <w:tcPr>
            <w:tcW w:w="1382" w:type="dxa"/>
            <w:vAlign w:val="center"/>
          </w:tcPr>
          <w:p w:rsidR="00572FCD" w:rsidRPr="00FC7082" w:rsidRDefault="00572FCD" w:rsidP="00572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55" w:type="dxa"/>
            <w:vAlign w:val="center"/>
          </w:tcPr>
          <w:p w:rsidR="00572FCD" w:rsidRPr="00FC7082" w:rsidRDefault="00572FCD" w:rsidP="00572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380" w:type="dxa"/>
            <w:vAlign w:val="center"/>
          </w:tcPr>
          <w:p w:rsidR="00572FCD" w:rsidRPr="00FC7082" w:rsidRDefault="00572FCD" w:rsidP="00572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250000</w:t>
            </w:r>
          </w:p>
        </w:tc>
        <w:tc>
          <w:tcPr>
            <w:tcW w:w="3077" w:type="dxa"/>
          </w:tcPr>
          <w:p w:rsidR="00572FCD" w:rsidRPr="00FC7082" w:rsidRDefault="00572FCD" w:rsidP="00572F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Sponsorship for live shows where various NHM </w:t>
            </w:r>
            <w:proofErr w:type="spellStart"/>
            <w:r>
              <w:rPr>
                <w:sz w:val="24"/>
                <w:szCs w:val="24"/>
              </w:rPr>
              <w:t>programmes</w:t>
            </w:r>
            <w:proofErr w:type="spellEnd"/>
            <w:r>
              <w:rPr>
                <w:sz w:val="24"/>
                <w:szCs w:val="24"/>
              </w:rPr>
              <w:t xml:space="preserve"> in the form of TV Spot/Scrolls are played/advertised @ Rs. 5000 played during the event/ inserted in between. Sponsorship from State </w:t>
            </w:r>
            <w:proofErr w:type="gramStart"/>
            <w:r>
              <w:rPr>
                <w:sz w:val="24"/>
                <w:szCs w:val="24"/>
              </w:rPr>
              <w:t>IEC  cell</w:t>
            </w:r>
            <w:proofErr w:type="gramEnd"/>
            <w:r>
              <w:rPr>
                <w:sz w:val="24"/>
                <w:szCs w:val="24"/>
              </w:rPr>
              <w:t xml:space="preserve"> is convenient for big events so that awareness can be generated for various NHM </w:t>
            </w:r>
            <w:proofErr w:type="spellStart"/>
            <w:r>
              <w:rPr>
                <w:sz w:val="24"/>
                <w:szCs w:val="24"/>
              </w:rPr>
              <w:t>programmes</w:t>
            </w:r>
            <w:proofErr w:type="spellEnd"/>
            <w:r>
              <w:rPr>
                <w:sz w:val="24"/>
                <w:szCs w:val="24"/>
              </w:rPr>
              <w:t xml:space="preserve"> and sanctioned from state.</w:t>
            </w:r>
          </w:p>
        </w:tc>
      </w:tr>
      <w:bookmarkEnd w:id="0"/>
      <w:tr w:rsidR="001267DE" w:rsidRPr="00FC7082" w:rsidTr="00572FCD">
        <w:trPr>
          <w:trHeight w:val="570"/>
        </w:trPr>
        <w:tc>
          <w:tcPr>
            <w:tcW w:w="1128" w:type="dxa"/>
            <w:vAlign w:val="center"/>
          </w:tcPr>
          <w:p w:rsidR="001267DE" w:rsidRDefault="001267DE" w:rsidP="006C4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656" w:type="dxa"/>
            <w:vAlign w:val="center"/>
          </w:tcPr>
          <w:p w:rsidR="001267DE" w:rsidRDefault="001267DE" w:rsidP="006C41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Production and Broadcasting of Short Films on NHM</w:t>
            </w:r>
          </w:p>
        </w:tc>
        <w:tc>
          <w:tcPr>
            <w:tcW w:w="1382" w:type="dxa"/>
            <w:vAlign w:val="center"/>
          </w:tcPr>
          <w:p w:rsidR="001267DE" w:rsidRDefault="00B010C0" w:rsidP="006C4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55" w:type="dxa"/>
            <w:vAlign w:val="center"/>
          </w:tcPr>
          <w:p w:rsidR="001267DE" w:rsidRDefault="001267DE" w:rsidP="006C4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</w:t>
            </w:r>
          </w:p>
        </w:tc>
        <w:tc>
          <w:tcPr>
            <w:tcW w:w="1380" w:type="dxa"/>
            <w:vAlign w:val="center"/>
          </w:tcPr>
          <w:p w:rsidR="001267DE" w:rsidRDefault="001267DE" w:rsidP="00B01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010C0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0000</w:t>
            </w:r>
          </w:p>
        </w:tc>
        <w:tc>
          <w:tcPr>
            <w:tcW w:w="3077" w:type="dxa"/>
          </w:tcPr>
          <w:p w:rsidR="001267DE" w:rsidRDefault="001267DE" w:rsidP="006C41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Making of Short films (15-20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 xml:space="preserve">) on NHM activities and schemes, where new </w:t>
            </w:r>
            <w:proofErr w:type="spellStart"/>
            <w:r>
              <w:rPr>
                <w:sz w:val="24"/>
                <w:szCs w:val="24"/>
              </w:rPr>
              <w:t>programmes</w:t>
            </w:r>
            <w:proofErr w:type="spellEnd"/>
            <w:r>
              <w:rPr>
                <w:sz w:val="24"/>
                <w:szCs w:val="24"/>
              </w:rPr>
              <w:t xml:space="preserve"> and schemes can be elucidated and distributed to local </w:t>
            </w:r>
            <w:proofErr w:type="spellStart"/>
            <w:r>
              <w:rPr>
                <w:sz w:val="24"/>
                <w:szCs w:val="24"/>
              </w:rPr>
              <w:t>tv</w:t>
            </w:r>
            <w:proofErr w:type="spellEnd"/>
            <w:r>
              <w:rPr>
                <w:sz w:val="24"/>
                <w:szCs w:val="24"/>
              </w:rPr>
              <w:t xml:space="preserve"> networks for broadcast. </w:t>
            </w:r>
            <w:r>
              <w:rPr>
                <w:sz w:val="24"/>
                <w:szCs w:val="24"/>
              </w:rPr>
              <w:br/>
              <w:t>Making of short film @ Rs. 40000/- per film + broadcast = Rs. 50000 per film.</w:t>
            </w:r>
          </w:p>
        </w:tc>
      </w:tr>
      <w:tr w:rsidR="001267DE" w:rsidRPr="00FC7082" w:rsidTr="00572FCD">
        <w:trPr>
          <w:trHeight w:val="570"/>
        </w:trPr>
        <w:tc>
          <w:tcPr>
            <w:tcW w:w="6521" w:type="dxa"/>
            <w:gridSpan w:val="4"/>
            <w:vAlign w:val="center"/>
          </w:tcPr>
          <w:p w:rsidR="001267DE" w:rsidRDefault="001267DE" w:rsidP="00572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1380" w:type="dxa"/>
            <w:vAlign w:val="center"/>
          </w:tcPr>
          <w:p w:rsidR="001267DE" w:rsidRDefault="001267DE" w:rsidP="001267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2630000</w:t>
            </w:r>
          </w:p>
        </w:tc>
        <w:tc>
          <w:tcPr>
            <w:tcW w:w="3077" w:type="dxa"/>
          </w:tcPr>
          <w:p w:rsidR="001267DE" w:rsidRDefault="001267DE" w:rsidP="00572FCD">
            <w:pPr>
              <w:rPr>
                <w:sz w:val="24"/>
                <w:szCs w:val="24"/>
              </w:rPr>
            </w:pPr>
          </w:p>
        </w:tc>
      </w:tr>
    </w:tbl>
    <w:p w:rsidR="00564199" w:rsidRDefault="00564199" w:rsidP="00FC7082"/>
    <w:p w:rsidR="00C546EA" w:rsidRPr="00FC7082" w:rsidRDefault="00C546EA" w:rsidP="00FC7082"/>
    <w:sectPr w:rsidR="00C546EA" w:rsidRPr="00FC7082" w:rsidSect="00ED62E1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6AD2"/>
    <w:multiLevelType w:val="hybridMultilevel"/>
    <w:tmpl w:val="8954DCE4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3B4D26EF"/>
    <w:multiLevelType w:val="hybridMultilevel"/>
    <w:tmpl w:val="A60A5C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4BA2"/>
    <w:multiLevelType w:val="hybridMultilevel"/>
    <w:tmpl w:val="F7D66278"/>
    <w:lvl w:ilvl="0" w:tplc="BA1EA874">
      <w:start w:val="1"/>
      <w:numFmt w:val="lowerRoman"/>
      <w:lvlText w:val="%1)"/>
      <w:lvlJc w:val="left"/>
      <w:pPr>
        <w:ind w:left="7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7082"/>
    <w:rsid w:val="00010E0F"/>
    <w:rsid w:val="001267DE"/>
    <w:rsid w:val="001438B9"/>
    <w:rsid w:val="001F444B"/>
    <w:rsid w:val="002241F6"/>
    <w:rsid w:val="00253882"/>
    <w:rsid w:val="002E7454"/>
    <w:rsid w:val="004E6B8E"/>
    <w:rsid w:val="00564199"/>
    <w:rsid w:val="00572FCD"/>
    <w:rsid w:val="005F4970"/>
    <w:rsid w:val="00705ED5"/>
    <w:rsid w:val="007979F1"/>
    <w:rsid w:val="008453FC"/>
    <w:rsid w:val="008E4522"/>
    <w:rsid w:val="00967C1E"/>
    <w:rsid w:val="009D47A8"/>
    <w:rsid w:val="00B010C0"/>
    <w:rsid w:val="00B8089F"/>
    <w:rsid w:val="00BF5973"/>
    <w:rsid w:val="00C546EA"/>
    <w:rsid w:val="00C60119"/>
    <w:rsid w:val="00CA35EE"/>
    <w:rsid w:val="00D64E7E"/>
    <w:rsid w:val="00DA7164"/>
    <w:rsid w:val="00ED62E1"/>
    <w:rsid w:val="00F8228F"/>
    <w:rsid w:val="00FC7082"/>
    <w:rsid w:val="00FD5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7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2020-01-20T09:39:00Z</cp:lastPrinted>
  <dcterms:created xsi:type="dcterms:W3CDTF">2020-01-20T09:39:00Z</dcterms:created>
  <dcterms:modified xsi:type="dcterms:W3CDTF">2020-01-20T09:43:00Z</dcterms:modified>
</cp:coreProperties>
</file>