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05AB" w:rsidP="001905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05AB">
        <w:rPr>
          <w:rFonts w:ascii="Times New Roman" w:hAnsi="Times New Roman" w:cs="Times New Roman"/>
          <w:b/>
          <w:sz w:val="24"/>
          <w:szCs w:val="24"/>
        </w:rPr>
        <w:t>9.5.12.2 Training  Workshop (Dengue &amp; Chikungunya):</w:t>
      </w:r>
    </w:p>
    <w:p w:rsidR="001905AB" w:rsidRDefault="001905AB" w:rsidP="001905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05AB" w:rsidRDefault="001905AB" w:rsidP="001905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05AB" w:rsidRPr="001905AB" w:rsidRDefault="001905AB" w:rsidP="00190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Sensitization Training of SVBDCP Staff in the State Rs. 2.00/- Lakhs is proposed.</w:t>
      </w:r>
    </w:p>
    <w:sectPr w:rsidR="001905AB" w:rsidRPr="001905AB" w:rsidSect="001905A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1905AB"/>
    <w:rsid w:val="0019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2019-02-18T09:58:00Z</dcterms:created>
  <dcterms:modified xsi:type="dcterms:W3CDTF">2019-02-18T09:59:00Z</dcterms:modified>
</cp:coreProperties>
</file>