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CE2BE" w14:textId="4CAD3F41" w:rsidR="00F53FB3" w:rsidRDefault="00F53FB3" w:rsidP="00C57F91">
      <w:pPr>
        <w:rPr>
          <w:b/>
          <w:bCs/>
        </w:rPr>
      </w:pPr>
      <w:r w:rsidRPr="00F53FB3">
        <w:rPr>
          <w:b/>
          <w:bCs/>
        </w:rPr>
        <w:t xml:space="preserve">4. </w:t>
      </w:r>
      <w:r w:rsidR="00684B86" w:rsidRPr="00F53FB3">
        <w:rPr>
          <w:b/>
          <w:bCs/>
        </w:rPr>
        <w:t>United</w:t>
      </w:r>
      <w:r w:rsidRPr="00F53FB3">
        <w:rPr>
          <w:b/>
          <w:bCs/>
        </w:rPr>
        <w:t xml:space="preserve"> Fund</w:t>
      </w:r>
    </w:p>
    <w:p w14:paraId="2539C8E2" w14:textId="3C4D71F9" w:rsidR="00085268" w:rsidRDefault="00085268" w:rsidP="00085268">
      <w:pPr>
        <w:jc w:val="both"/>
        <w:rPr>
          <w:b/>
          <w:bCs/>
        </w:rPr>
      </w:pPr>
      <w:r w:rsidRPr="00085268">
        <w:rPr>
          <w:b/>
          <w:bCs/>
        </w:rPr>
        <w:t xml:space="preserve">The State has 2 new Primary Health Centers, 1 in Lunglei and 1 Champhai District. Government of Mizoram had issued a gazette notification for Thingsai Primary Health Centre in Lunglei and Ratu Primary Health Centre in Champhai district. So, it is proposed RKS fund for these 2 PHCs.  The State also proposed RKS and Untied Fund for 1 Mizoram State Cancer Institute (Cancer Hospital), 9 DH, 3 SDH, 9 CHC, 59 PHC, 49 Health and Wellness Sub Centre, 321 SC, 830 VHSNC and 86 Sub Centre Clinics (SCC). Mizoram State Cancer Institute (MSCI) constituted RKS Committee and registered in the Registrar of Firms and Societies, </w:t>
      </w:r>
    </w:p>
    <w:p w14:paraId="1A499A18" w14:textId="748ECC1F" w:rsidR="00684B86" w:rsidRDefault="00684B86" w:rsidP="00C57F91">
      <w:pPr>
        <w:rPr>
          <w:b/>
          <w:bCs/>
        </w:rPr>
      </w:pPr>
      <w:r w:rsidRPr="00684B86">
        <w:rPr>
          <w:b/>
          <w:bCs/>
        </w:rPr>
        <w:t>Detail Budget estimate of RKS fund for existing facilities:</w:t>
      </w:r>
    </w:p>
    <w:tbl>
      <w:tblPr>
        <w:tblStyle w:val="TableGrid"/>
        <w:tblW w:w="9740" w:type="dxa"/>
        <w:tblLook w:val="04A0" w:firstRow="1" w:lastRow="0" w:firstColumn="1" w:lastColumn="0" w:noHBand="0" w:noVBand="1"/>
      </w:tblPr>
      <w:tblGrid>
        <w:gridCol w:w="1165"/>
        <w:gridCol w:w="952"/>
        <w:gridCol w:w="2173"/>
        <w:gridCol w:w="1298"/>
        <w:gridCol w:w="1156"/>
        <w:gridCol w:w="1127"/>
        <w:gridCol w:w="1869"/>
      </w:tblGrid>
      <w:tr w:rsidR="00085268" w:rsidRPr="00085268" w14:paraId="088BDFC8" w14:textId="77777777" w:rsidTr="00085268">
        <w:trPr>
          <w:trHeight w:val="847"/>
        </w:trPr>
        <w:tc>
          <w:tcPr>
            <w:tcW w:w="1165" w:type="dxa"/>
            <w:vAlign w:val="center"/>
          </w:tcPr>
          <w:p w14:paraId="35D8C5FE" w14:textId="26547338" w:rsidR="00085268" w:rsidRPr="00085268" w:rsidRDefault="00085268" w:rsidP="00085268">
            <w:pPr>
              <w:jc w:val="center"/>
              <w:rPr>
                <w:b/>
                <w:bCs/>
              </w:rPr>
            </w:pPr>
            <w:r>
              <w:rPr>
                <w:b/>
                <w:bCs/>
              </w:rPr>
              <w:t>FMR</w:t>
            </w:r>
          </w:p>
        </w:tc>
        <w:tc>
          <w:tcPr>
            <w:tcW w:w="952" w:type="dxa"/>
            <w:vAlign w:val="center"/>
          </w:tcPr>
          <w:p w14:paraId="58307BEF" w14:textId="6B7DB39A" w:rsidR="00085268" w:rsidRPr="00085268" w:rsidRDefault="00085268" w:rsidP="00085268">
            <w:pPr>
              <w:jc w:val="center"/>
              <w:rPr>
                <w:b/>
                <w:bCs/>
              </w:rPr>
            </w:pPr>
            <w:r>
              <w:rPr>
                <w:b/>
                <w:bCs/>
              </w:rPr>
              <w:t>Sl. No</w:t>
            </w:r>
          </w:p>
        </w:tc>
        <w:tc>
          <w:tcPr>
            <w:tcW w:w="2173" w:type="dxa"/>
            <w:vAlign w:val="center"/>
          </w:tcPr>
          <w:p w14:paraId="570F77C9" w14:textId="128FBAD4" w:rsidR="00085268" w:rsidRPr="00085268" w:rsidRDefault="00085268" w:rsidP="00085268">
            <w:pPr>
              <w:jc w:val="center"/>
              <w:rPr>
                <w:b/>
                <w:bCs/>
              </w:rPr>
            </w:pPr>
            <w:r w:rsidRPr="00085268">
              <w:rPr>
                <w:b/>
                <w:bCs/>
              </w:rPr>
              <w:t>Facility</w:t>
            </w:r>
          </w:p>
        </w:tc>
        <w:tc>
          <w:tcPr>
            <w:tcW w:w="1298" w:type="dxa"/>
            <w:vAlign w:val="center"/>
          </w:tcPr>
          <w:p w14:paraId="07732C72" w14:textId="2EFF22FF" w:rsidR="00085268" w:rsidRPr="00085268" w:rsidRDefault="00085268" w:rsidP="00085268">
            <w:pPr>
              <w:jc w:val="center"/>
              <w:rPr>
                <w:b/>
                <w:bCs/>
              </w:rPr>
            </w:pPr>
            <w:r w:rsidRPr="00085268">
              <w:rPr>
                <w:b/>
                <w:bCs/>
              </w:rPr>
              <w:t>Unit Cost (Rs)</w:t>
            </w:r>
          </w:p>
        </w:tc>
        <w:tc>
          <w:tcPr>
            <w:tcW w:w="1154" w:type="dxa"/>
            <w:vAlign w:val="center"/>
          </w:tcPr>
          <w:p w14:paraId="687CBD65" w14:textId="0CEE4B29" w:rsidR="00085268" w:rsidRPr="00085268" w:rsidRDefault="00085268" w:rsidP="00085268">
            <w:pPr>
              <w:jc w:val="center"/>
              <w:rPr>
                <w:b/>
                <w:bCs/>
              </w:rPr>
            </w:pPr>
            <w:r w:rsidRPr="00085268">
              <w:rPr>
                <w:b/>
                <w:bCs/>
              </w:rPr>
              <w:t>Target</w:t>
            </w:r>
          </w:p>
        </w:tc>
        <w:tc>
          <w:tcPr>
            <w:tcW w:w="1127" w:type="dxa"/>
            <w:vAlign w:val="center"/>
          </w:tcPr>
          <w:p w14:paraId="147ABD6F" w14:textId="2CC6120D" w:rsidR="00085268" w:rsidRPr="00085268" w:rsidRDefault="00085268" w:rsidP="00085268">
            <w:pPr>
              <w:jc w:val="center"/>
              <w:rPr>
                <w:b/>
                <w:bCs/>
              </w:rPr>
            </w:pPr>
            <w:r w:rsidRPr="00085268">
              <w:rPr>
                <w:b/>
                <w:bCs/>
              </w:rPr>
              <w:t>Amount (Rs)</w:t>
            </w:r>
          </w:p>
        </w:tc>
        <w:tc>
          <w:tcPr>
            <w:tcW w:w="1869" w:type="dxa"/>
            <w:vAlign w:val="center"/>
          </w:tcPr>
          <w:p w14:paraId="43C21AD3" w14:textId="45AF525E" w:rsidR="00085268" w:rsidRPr="00085268" w:rsidRDefault="00085268" w:rsidP="00085268">
            <w:pPr>
              <w:jc w:val="center"/>
              <w:rPr>
                <w:b/>
                <w:bCs/>
              </w:rPr>
            </w:pPr>
            <w:r w:rsidRPr="00085268">
              <w:rPr>
                <w:b/>
                <w:bCs/>
              </w:rPr>
              <w:t>Remarks</w:t>
            </w:r>
          </w:p>
        </w:tc>
      </w:tr>
      <w:tr w:rsidR="00085268" w:rsidRPr="00085268" w14:paraId="2CFBB803" w14:textId="77777777" w:rsidTr="00085268">
        <w:trPr>
          <w:trHeight w:val="677"/>
        </w:trPr>
        <w:tc>
          <w:tcPr>
            <w:tcW w:w="1165" w:type="dxa"/>
            <w:noWrap/>
            <w:vAlign w:val="center"/>
            <w:hideMark/>
          </w:tcPr>
          <w:p w14:paraId="1253945D" w14:textId="77777777" w:rsidR="00085268" w:rsidRPr="00085268" w:rsidRDefault="00085268" w:rsidP="00085268">
            <w:pPr>
              <w:jc w:val="center"/>
              <w:rPr>
                <w:bCs/>
              </w:rPr>
            </w:pPr>
            <w:r w:rsidRPr="00085268">
              <w:rPr>
                <w:bCs/>
              </w:rPr>
              <w:t>4.1.1</w:t>
            </w:r>
          </w:p>
        </w:tc>
        <w:tc>
          <w:tcPr>
            <w:tcW w:w="952" w:type="dxa"/>
            <w:vAlign w:val="center"/>
            <w:hideMark/>
          </w:tcPr>
          <w:p w14:paraId="2B6F5CB3" w14:textId="77777777" w:rsidR="00085268" w:rsidRPr="00085268" w:rsidRDefault="00085268" w:rsidP="00085268">
            <w:pPr>
              <w:jc w:val="center"/>
              <w:rPr>
                <w:bCs/>
              </w:rPr>
            </w:pPr>
            <w:r w:rsidRPr="00085268">
              <w:rPr>
                <w:bCs/>
              </w:rPr>
              <w:t>1</w:t>
            </w:r>
          </w:p>
        </w:tc>
        <w:tc>
          <w:tcPr>
            <w:tcW w:w="2173" w:type="dxa"/>
            <w:vAlign w:val="center"/>
            <w:hideMark/>
          </w:tcPr>
          <w:p w14:paraId="6A43F93F" w14:textId="77777777" w:rsidR="00085268" w:rsidRPr="00085268" w:rsidRDefault="00085268" w:rsidP="00085268">
            <w:pPr>
              <w:rPr>
                <w:bCs/>
              </w:rPr>
            </w:pPr>
            <w:r w:rsidRPr="00085268">
              <w:rPr>
                <w:bCs/>
              </w:rPr>
              <w:t>District Hospital</w:t>
            </w:r>
          </w:p>
        </w:tc>
        <w:tc>
          <w:tcPr>
            <w:tcW w:w="1298" w:type="dxa"/>
            <w:vAlign w:val="center"/>
            <w:hideMark/>
          </w:tcPr>
          <w:p w14:paraId="4CBDC4E5" w14:textId="77777777" w:rsidR="00085268" w:rsidRPr="00085268" w:rsidRDefault="00085268" w:rsidP="00085268">
            <w:pPr>
              <w:jc w:val="center"/>
              <w:rPr>
                <w:bCs/>
              </w:rPr>
            </w:pPr>
            <w:r w:rsidRPr="00085268">
              <w:rPr>
                <w:bCs/>
              </w:rPr>
              <w:t>1000000</w:t>
            </w:r>
          </w:p>
        </w:tc>
        <w:tc>
          <w:tcPr>
            <w:tcW w:w="1154" w:type="dxa"/>
            <w:vAlign w:val="center"/>
            <w:hideMark/>
          </w:tcPr>
          <w:p w14:paraId="27376B52" w14:textId="77777777" w:rsidR="00085268" w:rsidRPr="00085268" w:rsidRDefault="00085268" w:rsidP="00085268">
            <w:pPr>
              <w:jc w:val="center"/>
              <w:rPr>
                <w:bCs/>
              </w:rPr>
            </w:pPr>
            <w:r w:rsidRPr="00085268">
              <w:rPr>
                <w:bCs/>
              </w:rPr>
              <w:t>9</w:t>
            </w:r>
          </w:p>
        </w:tc>
        <w:tc>
          <w:tcPr>
            <w:tcW w:w="1127" w:type="dxa"/>
            <w:vAlign w:val="center"/>
            <w:hideMark/>
          </w:tcPr>
          <w:p w14:paraId="141CF25F" w14:textId="77777777" w:rsidR="00085268" w:rsidRPr="00085268" w:rsidRDefault="00085268" w:rsidP="00085268">
            <w:pPr>
              <w:jc w:val="right"/>
              <w:rPr>
                <w:bCs/>
              </w:rPr>
            </w:pPr>
            <w:r w:rsidRPr="00085268">
              <w:rPr>
                <w:bCs/>
              </w:rPr>
              <w:t>9000000</w:t>
            </w:r>
          </w:p>
        </w:tc>
        <w:tc>
          <w:tcPr>
            <w:tcW w:w="1869" w:type="dxa"/>
            <w:vAlign w:val="center"/>
            <w:hideMark/>
          </w:tcPr>
          <w:p w14:paraId="358AE83A" w14:textId="05F21D91" w:rsidR="00085268" w:rsidRPr="00085268" w:rsidRDefault="00085268" w:rsidP="00085268">
            <w:pPr>
              <w:rPr>
                <w:bCs/>
              </w:rPr>
            </w:pPr>
            <w:r w:rsidRPr="00085268">
              <w:rPr>
                <w:bCs/>
              </w:rPr>
              <w:t>Ongoing:</w:t>
            </w:r>
          </w:p>
        </w:tc>
      </w:tr>
      <w:tr w:rsidR="00085268" w:rsidRPr="00085268" w14:paraId="121F7F49" w14:textId="77777777" w:rsidTr="00085268">
        <w:trPr>
          <w:trHeight w:val="1355"/>
        </w:trPr>
        <w:tc>
          <w:tcPr>
            <w:tcW w:w="1165" w:type="dxa"/>
            <w:noWrap/>
            <w:vAlign w:val="center"/>
            <w:hideMark/>
          </w:tcPr>
          <w:p w14:paraId="4FCF14BE" w14:textId="77777777" w:rsidR="00085268" w:rsidRPr="00085268" w:rsidRDefault="00085268" w:rsidP="00085268">
            <w:pPr>
              <w:jc w:val="center"/>
              <w:rPr>
                <w:bCs/>
              </w:rPr>
            </w:pPr>
            <w:r w:rsidRPr="00085268">
              <w:rPr>
                <w:bCs/>
              </w:rPr>
              <w:t>4.1.2</w:t>
            </w:r>
          </w:p>
        </w:tc>
        <w:tc>
          <w:tcPr>
            <w:tcW w:w="952" w:type="dxa"/>
            <w:vAlign w:val="center"/>
            <w:hideMark/>
          </w:tcPr>
          <w:p w14:paraId="565BAC11" w14:textId="77777777" w:rsidR="00085268" w:rsidRPr="00085268" w:rsidRDefault="00085268" w:rsidP="00085268">
            <w:pPr>
              <w:jc w:val="center"/>
              <w:rPr>
                <w:bCs/>
              </w:rPr>
            </w:pPr>
            <w:r w:rsidRPr="00085268">
              <w:rPr>
                <w:bCs/>
              </w:rPr>
              <w:t>2</w:t>
            </w:r>
          </w:p>
        </w:tc>
        <w:tc>
          <w:tcPr>
            <w:tcW w:w="2173" w:type="dxa"/>
            <w:vAlign w:val="center"/>
            <w:hideMark/>
          </w:tcPr>
          <w:p w14:paraId="15E4E95C" w14:textId="77777777" w:rsidR="00085268" w:rsidRPr="00085268" w:rsidRDefault="00085268" w:rsidP="00085268">
            <w:pPr>
              <w:rPr>
                <w:bCs/>
              </w:rPr>
            </w:pPr>
            <w:r w:rsidRPr="00085268">
              <w:rPr>
                <w:bCs/>
              </w:rPr>
              <w:t>Sub District Hospital</w:t>
            </w:r>
          </w:p>
        </w:tc>
        <w:tc>
          <w:tcPr>
            <w:tcW w:w="1298" w:type="dxa"/>
            <w:vAlign w:val="center"/>
            <w:hideMark/>
          </w:tcPr>
          <w:p w14:paraId="09D93874" w14:textId="77777777" w:rsidR="00085268" w:rsidRPr="00085268" w:rsidRDefault="00085268" w:rsidP="00085268">
            <w:pPr>
              <w:jc w:val="center"/>
              <w:rPr>
                <w:bCs/>
              </w:rPr>
            </w:pPr>
            <w:r w:rsidRPr="00085268">
              <w:rPr>
                <w:bCs/>
              </w:rPr>
              <w:t>200000</w:t>
            </w:r>
          </w:p>
        </w:tc>
        <w:tc>
          <w:tcPr>
            <w:tcW w:w="1154" w:type="dxa"/>
            <w:vAlign w:val="center"/>
            <w:hideMark/>
          </w:tcPr>
          <w:p w14:paraId="6D577F4C" w14:textId="7E4917EE" w:rsidR="00085268" w:rsidRPr="00085268" w:rsidRDefault="00881AED" w:rsidP="00085268">
            <w:pPr>
              <w:jc w:val="center"/>
              <w:rPr>
                <w:bCs/>
              </w:rPr>
            </w:pPr>
            <w:r>
              <w:rPr>
                <w:bCs/>
              </w:rPr>
              <w:t>2</w:t>
            </w:r>
          </w:p>
        </w:tc>
        <w:tc>
          <w:tcPr>
            <w:tcW w:w="1127" w:type="dxa"/>
            <w:vAlign w:val="center"/>
            <w:hideMark/>
          </w:tcPr>
          <w:p w14:paraId="50BB798C" w14:textId="795E7630" w:rsidR="00085268" w:rsidRPr="00085268" w:rsidRDefault="00881AED" w:rsidP="00085268">
            <w:pPr>
              <w:jc w:val="right"/>
              <w:rPr>
                <w:bCs/>
              </w:rPr>
            </w:pPr>
            <w:r>
              <w:rPr>
                <w:bCs/>
              </w:rPr>
              <w:t>4</w:t>
            </w:r>
            <w:r w:rsidR="00085268" w:rsidRPr="00085268">
              <w:rPr>
                <w:bCs/>
              </w:rPr>
              <w:t>00000</w:t>
            </w:r>
          </w:p>
        </w:tc>
        <w:tc>
          <w:tcPr>
            <w:tcW w:w="1869" w:type="dxa"/>
            <w:vAlign w:val="center"/>
            <w:hideMark/>
          </w:tcPr>
          <w:p w14:paraId="4332E246" w14:textId="58ACA00A" w:rsidR="00085268" w:rsidRPr="00085268" w:rsidRDefault="00085268" w:rsidP="00085268">
            <w:pPr>
              <w:rPr>
                <w:bCs/>
              </w:rPr>
            </w:pPr>
            <w:r w:rsidRPr="00085268">
              <w:rPr>
                <w:bCs/>
              </w:rPr>
              <w:t>Ongoing: 1 new hospital (MSCI) proposed for sub district hospital</w:t>
            </w:r>
          </w:p>
        </w:tc>
      </w:tr>
      <w:tr w:rsidR="00085268" w:rsidRPr="00085268" w14:paraId="633C1503" w14:textId="77777777" w:rsidTr="00085268">
        <w:trPr>
          <w:trHeight w:val="677"/>
        </w:trPr>
        <w:tc>
          <w:tcPr>
            <w:tcW w:w="1165" w:type="dxa"/>
            <w:noWrap/>
            <w:vAlign w:val="center"/>
            <w:hideMark/>
          </w:tcPr>
          <w:p w14:paraId="5D62BD8E" w14:textId="77777777" w:rsidR="00085268" w:rsidRPr="00085268" w:rsidRDefault="00085268" w:rsidP="00085268">
            <w:pPr>
              <w:jc w:val="center"/>
              <w:rPr>
                <w:bCs/>
              </w:rPr>
            </w:pPr>
            <w:r w:rsidRPr="00085268">
              <w:rPr>
                <w:bCs/>
              </w:rPr>
              <w:t>4.1.3</w:t>
            </w:r>
          </w:p>
        </w:tc>
        <w:tc>
          <w:tcPr>
            <w:tcW w:w="952" w:type="dxa"/>
            <w:vAlign w:val="center"/>
            <w:hideMark/>
          </w:tcPr>
          <w:p w14:paraId="300EC69B" w14:textId="77777777" w:rsidR="00085268" w:rsidRPr="00085268" w:rsidRDefault="00085268" w:rsidP="00085268">
            <w:pPr>
              <w:jc w:val="center"/>
              <w:rPr>
                <w:bCs/>
              </w:rPr>
            </w:pPr>
            <w:r w:rsidRPr="00085268">
              <w:rPr>
                <w:bCs/>
              </w:rPr>
              <w:t>3</w:t>
            </w:r>
          </w:p>
        </w:tc>
        <w:tc>
          <w:tcPr>
            <w:tcW w:w="2173" w:type="dxa"/>
            <w:vAlign w:val="center"/>
            <w:hideMark/>
          </w:tcPr>
          <w:p w14:paraId="41E5EFDE" w14:textId="77777777" w:rsidR="00085268" w:rsidRPr="00085268" w:rsidRDefault="00085268" w:rsidP="00085268">
            <w:pPr>
              <w:rPr>
                <w:bCs/>
              </w:rPr>
            </w:pPr>
            <w:r w:rsidRPr="00085268">
              <w:rPr>
                <w:bCs/>
              </w:rPr>
              <w:t>Community Health Centre</w:t>
            </w:r>
          </w:p>
        </w:tc>
        <w:tc>
          <w:tcPr>
            <w:tcW w:w="1298" w:type="dxa"/>
            <w:vAlign w:val="center"/>
            <w:hideMark/>
          </w:tcPr>
          <w:p w14:paraId="2D2FDD09" w14:textId="77777777" w:rsidR="00085268" w:rsidRPr="00085268" w:rsidRDefault="00085268" w:rsidP="00085268">
            <w:pPr>
              <w:jc w:val="center"/>
              <w:rPr>
                <w:bCs/>
              </w:rPr>
            </w:pPr>
            <w:r w:rsidRPr="00085268">
              <w:rPr>
                <w:bCs/>
              </w:rPr>
              <w:t>500000</w:t>
            </w:r>
          </w:p>
        </w:tc>
        <w:tc>
          <w:tcPr>
            <w:tcW w:w="1154" w:type="dxa"/>
            <w:vAlign w:val="center"/>
            <w:hideMark/>
          </w:tcPr>
          <w:p w14:paraId="203F5D64" w14:textId="77777777" w:rsidR="00085268" w:rsidRPr="00085268" w:rsidRDefault="00085268" w:rsidP="00085268">
            <w:pPr>
              <w:jc w:val="center"/>
              <w:rPr>
                <w:bCs/>
              </w:rPr>
            </w:pPr>
            <w:r w:rsidRPr="00085268">
              <w:rPr>
                <w:bCs/>
              </w:rPr>
              <w:t>9</w:t>
            </w:r>
          </w:p>
        </w:tc>
        <w:tc>
          <w:tcPr>
            <w:tcW w:w="1127" w:type="dxa"/>
            <w:vAlign w:val="center"/>
            <w:hideMark/>
          </w:tcPr>
          <w:p w14:paraId="39EE84DE" w14:textId="77777777" w:rsidR="00085268" w:rsidRPr="00085268" w:rsidRDefault="00085268" w:rsidP="00085268">
            <w:pPr>
              <w:jc w:val="right"/>
              <w:rPr>
                <w:bCs/>
              </w:rPr>
            </w:pPr>
            <w:r w:rsidRPr="00085268">
              <w:rPr>
                <w:bCs/>
              </w:rPr>
              <w:t>4500000</w:t>
            </w:r>
          </w:p>
        </w:tc>
        <w:tc>
          <w:tcPr>
            <w:tcW w:w="1869" w:type="dxa"/>
            <w:vAlign w:val="center"/>
            <w:hideMark/>
          </w:tcPr>
          <w:p w14:paraId="0E6C13B1" w14:textId="77777777" w:rsidR="00085268" w:rsidRPr="00085268" w:rsidRDefault="00085268" w:rsidP="00085268">
            <w:pPr>
              <w:rPr>
                <w:bCs/>
              </w:rPr>
            </w:pPr>
            <w:r w:rsidRPr="00085268">
              <w:rPr>
                <w:bCs/>
              </w:rPr>
              <w:t>Ongoing</w:t>
            </w:r>
          </w:p>
        </w:tc>
      </w:tr>
      <w:tr w:rsidR="00085268" w:rsidRPr="00085268" w14:paraId="1FB95B52" w14:textId="77777777" w:rsidTr="00085268">
        <w:trPr>
          <w:trHeight w:val="1355"/>
        </w:trPr>
        <w:tc>
          <w:tcPr>
            <w:tcW w:w="1165" w:type="dxa"/>
            <w:noWrap/>
            <w:vAlign w:val="center"/>
            <w:hideMark/>
          </w:tcPr>
          <w:p w14:paraId="12FEF846" w14:textId="77777777" w:rsidR="00085268" w:rsidRPr="00085268" w:rsidRDefault="00085268" w:rsidP="00085268">
            <w:pPr>
              <w:jc w:val="center"/>
              <w:rPr>
                <w:bCs/>
              </w:rPr>
            </w:pPr>
            <w:r w:rsidRPr="00085268">
              <w:rPr>
                <w:bCs/>
              </w:rPr>
              <w:t>4.1.4</w:t>
            </w:r>
          </w:p>
        </w:tc>
        <w:tc>
          <w:tcPr>
            <w:tcW w:w="952" w:type="dxa"/>
            <w:vAlign w:val="center"/>
            <w:hideMark/>
          </w:tcPr>
          <w:p w14:paraId="5A874349" w14:textId="77777777" w:rsidR="00085268" w:rsidRPr="00085268" w:rsidRDefault="00085268" w:rsidP="00085268">
            <w:pPr>
              <w:jc w:val="center"/>
              <w:rPr>
                <w:bCs/>
              </w:rPr>
            </w:pPr>
            <w:r w:rsidRPr="00085268">
              <w:rPr>
                <w:bCs/>
              </w:rPr>
              <w:t>4</w:t>
            </w:r>
          </w:p>
        </w:tc>
        <w:tc>
          <w:tcPr>
            <w:tcW w:w="2173" w:type="dxa"/>
            <w:vAlign w:val="center"/>
            <w:hideMark/>
          </w:tcPr>
          <w:p w14:paraId="122D27A8" w14:textId="77777777" w:rsidR="00085268" w:rsidRPr="00085268" w:rsidRDefault="00085268" w:rsidP="00085268">
            <w:pPr>
              <w:rPr>
                <w:bCs/>
              </w:rPr>
            </w:pPr>
            <w:r w:rsidRPr="00085268">
              <w:rPr>
                <w:bCs/>
              </w:rPr>
              <w:t>Primary Health Centre</w:t>
            </w:r>
          </w:p>
        </w:tc>
        <w:tc>
          <w:tcPr>
            <w:tcW w:w="1298" w:type="dxa"/>
            <w:vAlign w:val="center"/>
            <w:hideMark/>
          </w:tcPr>
          <w:p w14:paraId="69570D3A" w14:textId="77777777" w:rsidR="00085268" w:rsidRPr="00085268" w:rsidRDefault="00085268" w:rsidP="00085268">
            <w:pPr>
              <w:jc w:val="center"/>
              <w:rPr>
                <w:bCs/>
              </w:rPr>
            </w:pPr>
            <w:r w:rsidRPr="00085268">
              <w:rPr>
                <w:bCs/>
              </w:rPr>
              <w:t>175000</w:t>
            </w:r>
          </w:p>
        </w:tc>
        <w:tc>
          <w:tcPr>
            <w:tcW w:w="1154" w:type="dxa"/>
            <w:vAlign w:val="center"/>
            <w:hideMark/>
          </w:tcPr>
          <w:p w14:paraId="4BA368EC" w14:textId="77777777" w:rsidR="00085268" w:rsidRPr="00085268" w:rsidRDefault="00085268" w:rsidP="00085268">
            <w:pPr>
              <w:jc w:val="center"/>
              <w:rPr>
                <w:bCs/>
              </w:rPr>
            </w:pPr>
            <w:r w:rsidRPr="00085268">
              <w:rPr>
                <w:bCs/>
              </w:rPr>
              <w:t>59</w:t>
            </w:r>
          </w:p>
        </w:tc>
        <w:tc>
          <w:tcPr>
            <w:tcW w:w="1127" w:type="dxa"/>
            <w:vAlign w:val="center"/>
            <w:hideMark/>
          </w:tcPr>
          <w:p w14:paraId="56FD136E" w14:textId="77777777" w:rsidR="00085268" w:rsidRPr="00085268" w:rsidRDefault="00085268" w:rsidP="00085268">
            <w:pPr>
              <w:jc w:val="right"/>
              <w:rPr>
                <w:bCs/>
              </w:rPr>
            </w:pPr>
            <w:r w:rsidRPr="00085268">
              <w:rPr>
                <w:bCs/>
              </w:rPr>
              <w:t>10325000</w:t>
            </w:r>
          </w:p>
        </w:tc>
        <w:tc>
          <w:tcPr>
            <w:tcW w:w="1869" w:type="dxa"/>
            <w:vAlign w:val="center"/>
            <w:hideMark/>
          </w:tcPr>
          <w:p w14:paraId="45DF39CE" w14:textId="1FD5703E" w:rsidR="00085268" w:rsidRPr="00085268" w:rsidRDefault="00085268" w:rsidP="00085268">
            <w:pPr>
              <w:rPr>
                <w:bCs/>
              </w:rPr>
            </w:pPr>
            <w:r w:rsidRPr="00085268">
              <w:rPr>
                <w:bCs/>
              </w:rPr>
              <w:t xml:space="preserve">Ongoing: </w:t>
            </w:r>
            <w:r>
              <w:rPr>
                <w:bCs/>
              </w:rPr>
              <w:t xml:space="preserve">2 new PHC (Thingsai and Ratu </w:t>
            </w:r>
            <w:r w:rsidRPr="00085268">
              <w:rPr>
                <w:bCs/>
              </w:rPr>
              <w:t>PHC) proposed</w:t>
            </w:r>
          </w:p>
        </w:tc>
      </w:tr>
      <w:tr w:rsidR="00085268" w:rsidRPr="00085268" w14:paraId="196FC9D6" w14:textId="77777777" w:rsidTr="00085268">
        <w:trPr>
          <w:trHeight w:val="677"/>
        </w:trPr>
        <w:tc>
          <w:tcPr>
            <w:tcW w:w="1165" w:type="dxa"/>
            <w:noWrap/>
            <w:vAlign w:val="center"/>
            <w:hideMark/>
          </w:tcPr>
          <w:p w14:paraId="24F11735" w14:textId="77777777" w:rsidR="00085268" w:rsidRPr="00085268" w:rsidRDefault="00085268" w:rsidP="00085268">
            <w:pPr>
              <w:jc w:val="center"/>
              <w:rPr>
                <w:bCs/>
              </w:rPr>
            </w:pPr>
            <w:r w:rsidRPr="00085268">
              <w:rPr>
                <w:bCs/>
              </w:rPr>
              <w:t>4.1.5</w:t>
            </w:r>
          </w:p>
        </w:tc>
        <w:tc>
          <w:tcPr>
            <w:tcW w:w="952" w:type="dxa"/>
            <w:vAlign w:val="center"/>
            <w:hideMark/>
          </w:tcPr>
          <w:p w14:paraId="50140B7E" w14:textId="77777777" w:rsidR="00085268" w:rsidRPr="00085268" w:rsidRDefault="00085268" w:rsidP="00085268">
            <w:pPr>
              <w:jc w:val="center"/>
              <w:rPr>
                <w:bCs/>
              </w:rPr>
            </w:pPr>
            <w:r w:rsidRPr="00085268">
              <w:rPr>
                <w:bCs/>
              </w:rPr>
              <w:t>5</w:t>
            </w:r>
          </w:p>
        </w:tc>
        <w:tc>
          <w:tcPr>
            <w:tcW w:w="2173" w:type="dxa"/>
            <w:vAlign w:val="center"/>
            <w:hideMark/>
          </w:tcPr>
          <w:p w14:paraId="2C09C64E" w14:textId="77777777" w:rsidR="00085268" w:rsidRPr="00085268" w:rsidRDefault="00085268" w:rsidP="00085268">
            <w:pPr>
              <w:rPr>
                <w:bCs/>
              </w:rPr>
            </w:pPr>
            <w:r w:rsidRPr="00085268">
              <w:rPr>
                <w:bCs/>
              </w:rPr>
              <w:t>Sub Centre</w:t>
            </w:r>
          </w:p>
        </w:tc>
        <w:tc>
          <w:tcPr>
            <w:tcW w:w="1298" w:type="dxa"/>
            <w:vAlign w:val="center"/>
            <w:hideMark/>
          </w:tcPr>
          <w:p w14:paraId="0E095689" w14:textId="77777777" w:rsidR="00085268" w:rsidRPr="00085268" w:rsidRDefault="00085268" w:rsidP="00085268">
            <w:pPr>
              <w:jc w:val="center"/>
              <w:rPr>
                <w:bCs/>
              </w:rPr>
            </w:pPr>
            <w:r w:rsidRPr="00085268">
              <w:rPr>
                <w:bCs/>
              </w:rPr>
              <w:t>20000</w:t>
            </w:r>
          </w:p>
        </w:tc>
        <w:tc>
          <w:tcPr>
            <w:tcW w:w="1154" w:type="dxa"/>
            <w:vAlign w:val="center"/>
            <w:hideMark/>
          </w:tcPr>
          <w:p w14:paraId="17498217" w14:textId="77777777" w:rsidR="00085268" w:rsidRPr="00085268" w:rsidRDefault="00085268" w:rsidP="00085268">
            <w:pPr>
              <w:jc w:val="center"/>
              <w:rPr>
                <w:bCs/>
              </w:rPr>
            </w:pPr>
            <w:r w:rsidRPr="00085268">
              <w:rPr>
                <w:bCs/>
              </w:rPr>
              <w:t>321</w:t>
            </w:r>
          </w:p>
        </w:tc>
        <w:tc>
          <w:tcPr>
            <w:tcW w:w="1127" w:type="dxa"/>
            <w:vAlign w:val="center"/>
            <w:hideMark/>
          </w:tcPr>
          <w:p w14:paraId="7A10684B" w14:textId="77777777" w:rsidR="00085268" w:rsidRPr="00085268" w:rsidRDefault="00085268" w:rsidP="00085268">
            <w:pPr>
              <w:jc w:val="right"/>
              <w:rPr>
                <w:bCs/>
              </w:rPr>
            </w:pPr>
            <w:r w:rsidRPr="00085268">
              <w:rPr>
                <w:bCs/>
              </w:rPr>
              <w:t>6420000</w:t>
            </w:r>
          </w:p>
        </w:tc>
        <w:tc>
          <w:tcPr>
            <w:tcW w:w="1869" w:type="dxa"/>
            <w:vAlign w:val="center"/>
            <w:hideMark/>
          </w:tcPr>
          <w:p w14:paraId="627E116F" w14:textId="77777777" w:rsidR="00085268" w:rsidRPr="00085268" w:rsidRDefault="00085268" w:rsidP="00085268">
            <w:pPr>
              <w:rPr>
                <w:bCs/>
              </w:rPr>
            </w:pPr>
            <w:r w:rsidRPr="00085268">
              <w:rPr>
                <w:bCs/>
              </w:rPr>
              <w:t>Ongoing</w:t>
            </w:r>
          </w:p>
        </w:tc>
      </w:tr>
      <w:tr w:rsidR="00085268" w:rsidRPr="00085268" w14:paraId="50373A99" w14:textId="77777777" w:rsidTr="00085268">
        <w:trPr>
          <w:trHeight w:val="677"/>
        </w:trPr>
        <w:tc>
          <w:tcPr>
            <w:tcW w:w="1165" w:type="dxa"/>
            <w:noWrap/>
            <w:vAlign w:val="center"/>
            <w:hideMark/>
          </w:tcPr>
          <w:p w14:paraId="709EC98A" w14:textId="77777777" w:rsidR="00085268" w:rsidRPr="00085268" w:rsidRDefault="00085268" w:rsidP="00085268">
            <w:pPr>
              <w:jc w:val="center"/>
              <w:rPr>
                <w:bCs/>
              </w:rPr>
            </w:pPr>
            <w:r w:rsidRPr="00085268">
              <w:rPr>
                <w:bCs/>
              </w:rPr>
              <w:t>4.1.6</w:t>
            </w:r>
          </w:p>
        </w:tc>
        <w:tc>
          <w:tcPr>
            <w:tcW w:w="952" w:type="dxa"/>
            <w:vAlign w:val="center"/>
            <w:hideMark/>
          </w:tcPr>
          <w:p w14:paraId="16A6B92F" w14:textId="77777777" w:rsidR="00085268" w:rsidRPr="00085268" w:rsidRDefault="00085268" w:rsidP="00085268">
            <w:pPr>
              <w:jc w:val="center"/>
              <w:rPr>
                <w:bCs/>
              </w:rPr>
            </w:pPr>
            <w:r w:rsidRPr="00085268">
              <w:rPr>
                <w:bCs/>
              </w:rPr>
              <w:t>6</w:t>
            </w:r>
          </w:p>
        </w:tc>
        <w:tc>
          <w:tcPr>
            <w:tcW w:w="2173" w:type="dxa"/>
            <w:vAlign w:val="center"/>
            <w:hideMark/>
          </w:tcPr>
          <w:p w14:paraId="151AF1E8" w14:textId="77777777" w:rsidR="00085268" w:rsidRPr="00085268" w:rsidRDefault="00085268" w:rsidP="00085268">
            <w:pPr>
              <w:rPr>
                <w:bCs/>
              </w:rPr>
            </w:pPr>
            <w:r w:rsidRPr="00085268">
              <w:rPr>
                <w:bCs/>
              </w:rPr>
              <w:t>VHSNC</w:t>
            </w:r>
          </w:p>
        </w:tc>
        <w:tc>
          <w:tcPr>
            <w:tcW w:w="1298" w:type="dxa"/>
            <w:vAlign w:val="center"/>
            <w:hideMark/>
          </w:tcPr>
          <w:p w14:paraId="45BEFCBD" w14:textId="77777777" w:rsidR="00085268" w:rsidRPr="00085268" w:rsidRDefault="00085268" w:rsidP="00085268">
            <w:pPr>
              <w:jc w:val="center"/>
              <w:rPr>
                <w:bCs/>
              </w:rPr>
            </w:pPr>
            <w:r w:rsidRPr="00085268">
              <w:rPr>
                <w:bCs/>
              </w:rPr>
              <w:t>10000</w:t>
            </w:r>
          </w:p>
        </w:tc>
        <w:tc>
          <w:tcPr>
            <w:tcW w:w="1154" w:type="dxa"/>
            <w:vAlign w:val="center"/>
            <w:hideMark/>
          </w:tcPr>
          <w:p w14:paraId="4AF2C5FC" w14:textId="77777777" w:rsidR="00085268" w:rsidRPr="00085268" w:rsidRDefault="00085268" w:rsidP="00085268">
            <w:pPr>
              <w:jc w:val="center"/>
              <w:rPr>
                <w:bCs/>
              </w:rPr>
            </w:pPr>
            <w:r w:rsidRPr="00085268">
              <w:rPr>
                <w:bCs/>
              </w:rPr>
              <w:t>830</w:t>
            </w:r>
          </w:p>
        </w:tc>
        <w:tc>
          <w:tcPr>
            <w:tcW w:w="1127" w:type="dxa"/>
            <w:vAlign w:val="center"/>
            <w:hideMark/>
          </w:tcPr>
          <w:p w14:paraId="5EA240E4" w14:textId="77777777" w:rsidR="00085268" w:rsidRPr="00085268" w:rsidRDefault="00085268" w:rsidP="00085268">
            <w:pPr>
              <w:jc w:val="right"/>
              <w:rPr>
                <w:bCs/>
              </w:rPr>
            </w:pPr>
            <w:r w:rsidRPr="00085268">
              <w:rPr>
                <w:bCs/>
              </w:rPr>
              <w:t>8300000</w:t>
            </w:r>
          </w:p>
        </w:tc>
        <w:tc>
          <w:tcPr>
            <w:tcW w:w="1869" w:type="dxa"/>
            <w:vAlign w:val="center"/>
            <w:hideMark/>
          </w:tcPr>
          <w:p w14:paraId="11A05DB2" w14:textId="77777777" w:rsidR="00085268" w:rsidRPr="00085268" w:rsidRDefault="00085268" w:rsidP="00085268">
            <w:pPr>
              <w:rPr>
                <w:bCs/>
              </w:rPr>
            </w:pPr>
            <w:r w:rsidRPr="00085268">
              <w:rPr>
                <w:bCs/>
              </w:rPr>
              <w:t>Ongoing</w:t>
            </w:r>
          </w:p>
        </w:tc>
      </w:tr>
      <w:tr w:rsidR="00085268" w:rsidRPr="00085268" w14:paraId="4098FA9C" w14:textId="77777777" w:rsidTr="00085268">
        <w:trPr>
          <w:trHeight w:val="677"/>
        </w:trPr>
        <w:tc>
          <w:tcPr>
            <w:tcW w:w="1165" w:type="dxa"/>
            <w:vMerge w:val="restart"/>
            <w:noWrap/>
            <w:vAlign w:val="center"/>
            <w:hideMark/>
          </w:tcPr>
          <w:p w14:paraId="71CFDD9D" w14:textId="77777777" w:rsidR="00085268" w:rsidRPr="00085268" w:rsidRDefault="00085268" w:rsidP="00085268">
            <w:pPr>
              <w:jc w:val="center"/>
              <w:rPr>
                <w:bCs/>
              </w:rPr>
            </w:pPr>
            <w:r w:rsidRPr="00085268">
              <w:rPr>
                <w:bCs/>
              </w:rPr>
              <w:t>4.1.7</w:t>
            </w:r>
          </w:p>
        </w:tc>
        <w:tc>
          <w:tcPr>
            <w:tcW w:w="952" w:type="dxa"/>
            <w:vAlign w:val="center"/>
            <w:hideMark/>
          </w:tcPr>
          <w:p w14:paraId="4E75CEAA" w14:textId="77777777" w:rsidR="00085268" w:rsidRPr="00085268" w:rsidRDefault="00085268" w:rsidP="00085268">
            <w:pPr>
              <w:jc w:val="center"/>
              <w:rPr>
                <w:bCs/>
              </w:rPr>
            </w:pPr>
            <w:r w:rsidRPr="00085268">
              <w:rPr>
                <w:bCs/>
              </w:rPr>
              <w:t>7</w:t>
            </w:r>
          </w:p>
        </w:tc>
        <w:tc>
          <w:tcPr>
            <w:tcW w:w="2173" w:type="dxa"/>
            <w:vAlign w:val="center"/>
            <w:hideMark/>
          </w:tcPr>
          <w:p w14:paraId="188628B3" w14:textId="77777777" w:rsidR="00085268" w:rsidRPr="00085268" w:rsidRDefault="00085268" w:rsidP="00085268">
            <w:pPr>
              <w:rPr>
                <w:bCs/>
              </w:rPr>
            </w:pPr>
            <w:r w:rsidRPr="00085268">
              <w:rPr>
                <w:bCs/>
              </w:rPr>
              <w:t>Others (Sub Centre Clinics)</w:t>
            </w:r>
          </w:p>
        </w:tc>
        <w:tc>
          <w:tcPr>
            <w:tcW w:w="1298" w:type="dxa"/>
            <w:vAlign w:val="center"/>
            <w:hideMark/>
          </w:tcPr>
          <w:p w14:paraId="6DD425CE" w14:textId="77777777" w:rsidR="00085268" w:rsidRPr="00085268" w:rsidRDefault="00085268" w:rsidP="00085268">
            <w:pPr>
              <w:jc w:val="center"/>
              <w:rPr>
                <w:bCs/>
              </w:rPr>
            </w:pPr>
            <w:r w:rsidRPr="00085268">
              <w:rPr>
                <w:bCs/>
              </w:rPr>
              <w:t>10000</w:t>
            </w:r>
          </w:p>
        </w:tc>
        <w:tc>
          <w:tcPr>
            <w:tcW w:w="1154" w:type="dxa"/>
            <w:vAlign w:val="center"/>
            <w:hideMark/>
          </w:tcPr>
          <w:p w14:paraId="7EBB3450" w14:textId="77777777" w:rsidR="00085268" w:rsidRPr="00085268" w:rsidRDefault="00085268" w:rsidP="00085268">
            <w:pPr>
              <w:jc w:val="center"/>
              <w:rPr>
                <w:bCs/>
              </w:rPr>
            </w:pPr>
            <w:r w:rsidRPr="00085268">
              <w:rPr>
                <w:bCs/>
              </w:rPr>
              <w:t>86</w:t>
            </w:r>
          </w:p>
        </w:tc>
        <w:tc>
          <w:tcPr>
            <w:tcW w:w="1127" w:type="dxa"/>
            <w:vAlign w:val="center"/>
            <w:hideMark/>
          </w:tcPr>
          <w:p w14:paraId="6ED2D13A" w14:textId="77777777" w:rsidR="00085268" w:rsidRPr="00085268" w:rsidRDefault="00085268" w:rsidP="00085268">
            <w:pPr>
              <w:jc w:val="right"/>
              <w:rPr>
                <w:bCs/>
              </w:rPr>
            </w:pPr>
            <w:r w:rsidRPr="00085268">
              <w:rPr>
                <w:bCs/>
              </w:rPr>
              <w:t>860000</w:t>
            </w:r>
          </w:p>
        </w:tc>
        <w:tc>
          <w:tcPr>
            <w:tcW w:w="1869" w:type="dxa"/>
            <w:vAlign w:val="center"/>
            <w:hideMark/>
          </w:tcPr>
          <w:p w14:paraId="28B19B21" w14:textId="77777777" w:rsidR="00085268" w:rsidRPr="00085268" w:rsidRDefault="00085268" w:rsidP="00085268">
            <w:pPr>
              <w:rPr>
                <w:bCs/>
              </w:rPr>
            </w:pPr>
            <w:r w:rsidRPr="00085268">
              <w:rPr>
                <w:bCs/>
              </w:rPr>
              <w:t xml:space="preserve">Ongoing: </w:t>
            </w:r>
          </w:p>
        </w:tc>
      </w:tr>
      <w:tr w:rsidR="00085268" w:rsidRPr="00085268" w14:paraId="50A186AF" w14:textId="77777777" w:rsidTr="00085268">
        <w:trPr>
          <w:trHeight w:val="677"/>
        </w:trPr>
        <w:tc>
          <w:tcPr>
            <w:tcW w:w="1165" w:type="dxa"/>
            <w:vMerge/>
            <w:vAlign w:val="center"/>
            <w:hideMark/>
          </w:tcPr>
          <w:p w14:paraId="47D3004C" w14:textId="77777777" w:rsidR="00085268" w:rsidRPr="00085268" w:rsidRDefault="00085268" w:rsidP="00085268">
            <w:pPr>
              <w:jc w:val="center"/>
              <w:rPr>
                <w:bCs/>
              </w:rPr>
            </w:pPr>
          </w:p>
        </w:tc>
        <w:tc>
          <w:tcPr>
            <w:tcW w:w="952" w:type="dxa"/>
            <w:vAlign w:val="center"/>
            <w:hideMark/>
          </w:tcPr>
          <w:p w14:paraId="04BF4459" w14:textId="77777777" w:rsidR="00085268" w:rsidRPr="00085268" w:rsidRDefault="00085268" w:rsidP="00085268">
            <w:pPr>
              <w:jc w:val="center"/>
              <w:rPr>
                <w:bCs/>
              </w:rPr>
            </w:pPr>
            <w:r w:rsidRPr="00085268">
              <w:rPr>
                <w:bCs/>
              </w:rPr>
              <w:t>8</w:t>
            </w:r>
          </w:p>
        </w:tc>
        <w:tc>
          <w:tcPr>
            <w:tcW w:w="2173" w:type="dxa"/>
            <w:vAlign w:val="center"/>
            <w:hideMark/>
          </w:tcPr>
          <w:p w14:paraId="38ADAA8D" w14:textId="77777777" w:rsidR="00085268" w:rsidRPr="00085268" w:rsidRDefault="00085268" w:rsidP="00085268">
            <w:pPr>
              <w:rPr>
                <w:bCs/>
              </w:rPr>
            </w:pPr>
            <w:r w:rsidRPr="00085268">
              <w:rPr>
                <w:bCs/>
              </w:rPr>
              <w:t>Others (HWC)</w:t>
            </w:r>
          </w:p>
        </w:tc>
        <w:tc>
          <w:tcPr>
            <w:tcW w:w="1298" w:type="dxa"/>
            <w:vAlign w:val="center"/>
            <w:hideMark/>
          </w:tcPr>
          <w:p w14:paraId="7974C11B" w14:textId="77777777" w:rsidR="00085268" w:rsidRPr="00085268" w:rsidRDefault="00085268" w:rsidP="00085268">
            <w:pPr>
              <w:jc w:val="center"/>
              <w:rPr>
                <w:bCs/>
              </w:rPr>
            </w:pPr>
            <w:r w:rsidRPr="00085268">
              <w:rPr>
                <w:bCs/>
              </w:rPr>
              <w:t>50000</w:t>
            </w:r>
          </w:p>
        </w:tc>
        <w:tc>
          <w:tcPr>
            <w:tcW w:w="1154" w:type="dxa"/>
            <w:vAlign w:val="center"/>
            <w:hideMark/>
          </w:tcPr>
          <w:p w14:paraId="0F211981" w14:textId="77777777" w:rsidR="00085268" w:rsidRPr="00085268" w:rsidRDefault="00085268" w:rsidP="00085268">
            <w:pPr>
              <w:jc w:val="center"/>
              <w:rPr>
                <w:bCs/>
              </w:rPr>
            </w:pPr>
            <w:r w:rsidRPr="00085268">
              <w:rPr>
                <w:bCs/>
              </w:rPr>
              <w:t>49</w:t>
            </w:r>
          </w:p>
        </w:tc>
        <w:tc>
          <w:tcPr>
            <w:tcW w:w="1127" w:type="dxa"/>
            <w:vAlign w:val="center"/>
            <w:hideMark/>
          </w:tcPr>
          <w:p w14:paraId="03DC2489" w14:textId="77777777" w:rsidR="00085268" w:rsidRPr="00085268" w:rsidRDefault="00085268" w:rsidP="00085268">
            <w:pPr>
              <w:jc w:val="right"/>
              <w:rPr>
                <w:bCs/>
              </w:rPr>
            </w:pPr>
            <w:r w:rsidRPr="00085268">
              <w:rPr>
                <w:bCs/>
              </w:rPr>
              <w:t>2450000</w:t>
            </w:r>
          </w:p>
        </w:tc>
        <w:tc>
          <w:tcPr>
            <w:tcW w:w="1869" w:type="dxa"/>
            <w:vAlign w:val="center"/>
            <w:hideMark/>
          </w:tcPr>
          <w:p w14:paraId="2F7257DD" w14:textId="77777777" w:rsidR="00085268" w:rsidRPr="00085268" w:rsidRDefault="00085268" w:rsidP="00085268">
            <w:pPr>
              <w:rPr>
                <w:bCs/>
              </w:rPr>
            </w:pPr>
            <w:r w:rsidRPr="00085268">
              <w:rPr>
                <w:bCs/>
              </w:rPr>
              <w:t>New activity</w:t>
            </w:r>
          </w:p>
        </w:tc>
      </w:tr>
      <w:tr w:rsidR="00085268" w:rsidRPr="00085268" w14:paraId="1E23A492" w14:textId="77777777" w:rsidTr="00085268">
        <w:trPr>
          <w:trHeight w:val="591"/>
        </w:trPr>
        <w:tc>
          <w:tcPr>
            <w:tcW w:w="6744" w:type="dxa"/>
            <w:gridSpan w:val="5"/>
            <w:noWrap/>
            <w:vAlign w:val="center"/>
            <w:hideMark/>
          </w:tcPr>
          <w:p w14:paraId="5FB8D9C3" w14:textId="77777777" w:rsidR="00085268" w:rsidRPr="00085268" w:rsidRDefault="00085268" w:rsidP="00085268">
            <w:pPr>
              <w:jc w:val="right"/>
              <w:rPr>
                <w:b/>
                <w:bCs/>
              </w:rPr>
            </w:pPr>
            <w:r w:rsidRPr="00085268">
              <w:rPr>
                <w:b/>
                <w:bCs/>
              </w:rPr>
              <w:t>Total</w:t>
            </w:r>
          </w:p>
        </w:tc>
        <w:tc>
          <w:tcPr>
            <w:tcW w:w="1127" w:type="dxa"/>
            <w:vAlign w:val="center"/>
            <w:hideMark/>
          </w:tcPr>
          <w:p w14:paraId="51870726" w14:textId="77F0831D" w:rsidR="00085268" w:rsidRPr="00085268" w:rsidRDefault="00881AED" w:rsidP="00085268">
            <w:pPr>
              <w:jc w:val="right"/>
              <w:rPr>
                <w:b/>
                <w:bCs/>
              </w:rPr>
            </w:pPr>
            <w:r>
              <w:rPr>
                <w:b/>
                <w:bCs/>
              </w:rPr>
              <w:t>42255000</w:t>
            </w:r>
            <w:bookmarkStart w:id="0" w:name="_GoBack"/>
            <w:bookmarkEnd w:id="0"/>
          </w:p>
        </w:tc>
        <w:tc>
          <w:tcPr>
            <w:tcW w:w="1869" w:type="dxa"/>
            <w:vAlign w:val="center"/>
            <w:hideMark/>
          </w:tcPr>
          <w:p w14:paraId="442A1991" w14:textId="77777777" w:rsidR="00085268" w:rsidRPr="00085268" w:rsidRDefault="00085268" w:rsidP="00085268">
            <w:pPr>
              <w:rPr>
                <w:b/>
                <w:bCs/>
              </w:rPr>
            </w:pPr>
            <w:r w:rsidRPr="00085268">
              <w:rPr>
                <w:b/>
                <w:bCs/>
              </w:rPr>
              <w:t> </w:t>
            </w:r>
          </w:p>
        </w:tc>
      </w:tr>
    </w:tbl>
    <w:p w14:paraId="42C5ADCE" w14:textId="77777777" w:rsidR="00684B86" w:rsidRPr="00F53FB3" w:rsidRDefault="00684B86" w:rsidP="00C57F91">
      <w:pPr>
        <w:rPr>
          <w:b/>
          <w:bCs/>
        </w:rPr>
      </w:pPr>
    </w:p>
    <w:p w14:paraId="63176719" w14:textId="4C44CA91" w:rsidR="00F53FB3" w:rsidRPr="00085268" w:rsidRDefault="00085268" w:rsidP="00085268">
      <w:pPr>
        <w:jc w:val="center"/>
        <w:rPr>
          <w:i/>
          <w:sz w:val="24"/>
          <w:szCs w:val="24"/>
        </w:rPr>
      </w:pPr>
      <w:r w:rsidRPr="00085268">
        <w:rPr>
          <w:i/>
          <w:sz w:val="24"/>
          <w:szCs w:val="24"/>
        </w:rPr>
        <w:t>(Rupees four hundred twenty-four lakhs fifty-five thousand) only</w:t>
      </w:r>
    </w:p>
    <w:sectPr w:rsidR="00F53FB3" w:rsidRPr="00085268" w:rsidSect="00C54469">
      <w:pgSz w:w="12240" w:h="15840"/>
      <w:pgMar w:top="126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0309"/>
    <w:rsid w:val="00085268"/>
    <w:rsid w:val="00093F3B"/>
    <w:rsid w:val="001352FE"/>
    <w:rsid w:val="002B0983"/>
    <w:rsid w:val="00333997"/>
    <w:rsid w:val="003C2943"/>
    <w:rsid w:val="004C640E"/>
    <w:rsid w:val="004F4289"/>
    <w:rsid w:val="00684B86"/>
    <w:rsid w:val="00881AED"/>
    <w:rsid w:val="0090073F"/>
    <w:rsid w:val="00B10309"/>
    <w:rsid w:val="00B40FBD"/>
    <w:rsid w:val="00B735FA"/>
    <w:rsid w:val="00BD0297"/>
    <w:rsid w:val="00C54469"/>
    <w:rsid w:val="00C57F91"/>
    <w:rsid w:val="00DB1DDF"/>
    <w:rsid w:val="00F53FB3"/>
    <w:rsid w:val="00FF04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466B0"/>
  <w15:docId w15:val="{CD971BF5-3F88-45BA-8773-BC645CD61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2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3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744477">
      <w:bodyDiv w:val="1"/>
      <w:marLeft w:val="0"/>
      <w:marRight w:val="0"/>
      <w:marTop w:val="0"/>
      <w:marBottom w:val="0"/>
      <w:divBdr>
        <w:top w:val="none" w:sz="0" w:space="0" w:color="auto"/>
        <w:left w:val="none" w:sz="0" w:space="0" w:color="auto"/>
        <w:bottom w:val="none" w:sz="0" w:space="0" w:color="auto"/>
        <w:right w:val="none" w:sz="0" w:space="0" w:color="auto"/>
      </w:divBdr>
    </w:div>
    <w:div w:id="596409250">
      <w:bodyDiv w:val="1"/>
      <w:marLeft w:val="0"/>
      <w:marRight w:val="0"/>
      <w:marTop w:val="0"/>
      <w:marBottom w:val="0"/>
      <w:divBdr>
        <w:top w:val="none" w:sz="0" w:space="0" w:color="auto"/>
        <w:left w:val="none" w:sz="0" w:space="0" w:color="auto"/>
        <w:bottom w:val="none" w:sz="0" w:space="0" w:color="auto"/>
        <w:right w:val="none" w:sz="0" w:space="0" w:color="auto"/>
      </w:divBdr>
    </w:div>
    <w:div w:id="683481246">
      <w:bodyDiv w:val="1"/>
      <w:marLeft w:val="0"/>
      <w:marRight w:val="0"/>
      <w:marTop w:val="0"/>
      <w:marBottom w:val="0"/>
      <w:divBdr>
        <w:top w:val="none" w:sz="0" w:space="0" w:color="auto"/>
        <w:left w:val="none" w:sz="0" w:space="0" w:color="auto"/>
        <w:bottom w:val="none" w:sz="0" w:space="0" w:color="auto"/>
        <w:right w:val="none" w:sz="0" w:space="0" w:color="auto"/>
      </w:divBdr>
    </w:div>
    <w:div w:id="1035232098">
      <w:bodyDiv w:val="1"/>
      <w:marLeft w:val="0"/>
      <w:marRight w:val="0"/>
      <w:marTop w:val="0"/>
      <w:marBottom w:val="0"/>
      <w:divBdr>
        <w:top w:val="none" w:sz="0" w:space="0" w:color="auto"/>
        <w:left w:val="none" w:sz="0" w:space="0" w:color="auto"/>
        <w:bottom w:val="none" w:sz="0" w:space="0" w:color="auto"/>
        <w:right w:val="none" w:sz="0" w:space="0" w:color="auto"/>
      </w:divBdr>
    </w:div>
    <w:div w:id="1386443284">
      <w:bodyDiv w:val="1"/>
      <w:marLeft w:val="0"/>
      <w:marRight w:val="0"/>
      <w:marTop w:val="0"/>
      <w:marBottom w:val="0"/>
      <w:divBdr>
        <w:top w:val="none" w:sz="0" w:space="0" w:color="auto"/>
        <w:left w:val="none" w:sz="0" w:space="0" w:color="auto"/>
        <w:bottom w:val="none" w:sz="0" w:space="0" w:color="auto"/>
        <w:right w:val="none" w:sz="0" w:space="0" w:color="auto"/>
      </w:divBdr>
    </w:div>
    <w:div w:id="1496649212">
      <w:bodyDiv w:val="1"/>
      <w:marLeft w:val="0"/>
      <w:marRight w:val="0"/>
      <w:marTop w:val="0"/>
      <w:marBottom w:val="0"/>
      <w:divBdr>
        <w:top w:val="none" w:sz="0" w:space="0" w:color="auto"/>
        <w:left w:val="none" w:sz="0" w:space="0" w:color="auto"/>
        <w:bottom w:val="none" w:sz="0" w:space="0" w:color="auto"/>
        <w:right w:val="none" w:sz="0" w:space="0" w:color="auto"/>
      </w:divBdr>
    </w:div>
    <w:div w:id="1997345053">
      <w:bodyDiv w:val="1"/>
      <w:marLeft w:val="0"/>
      <w:marRight w:val="0"/>
      <w:marTop w:val="0"/>
      <w:marBottom w:val="0"/>
      <w:divBdr>
        <w:top w:val="none" w:sz="0" w:space="0" w:color="auto"/>
        <w:left w:val="none" w:sz="0" w:space="0" w:color="auto"/>
        <w:bottom w:val="none" w:sz="0" w:space="0" w:color="auto"/>
        <w:right w:val="none" w:sz="0" w:space="0" w:color="auto"/>
      </w:divBdr>
    </w:div>
    <w:div w:id="2124686980">
      <w:bodyDiv w:val="1"/>
      <w:marLeft w:val="0"/>
      <w:marRight w:val="0"/>
      <w:marTop w:val="0"/>
      <w:marBottom w:val="0"/>
      <w:divBdr>
        <w:top w:val="none" w:sz="0" w:space="0" w:color="auto"/>
        <w:left w:val="none" w:sz="0" w:space="0" w:color="auto"/>
        <w:bottom w:val="none" w:sz="0" w:space="0" w:color="auto"/>
        <w:right w:val="none" w:sz="0" w:space="0" w:color="auto"/>
      </w:divBdr>
    </w:div>
    <w:div w:id="213451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Vanenga</dc:creator>
  <cp:lastModifiedBy>Reuben Tochhawng</cp:lastModifiedBy>
  <cp:revision>16</cp:revision>
  <dcterms:created xsi:type="dcterms:W3CDTF">2016-02-28T08:26:00Z</dcterms:created>
  <dcterms:modified xsi:type="dcterms:W3CDTF">2019-12-02T08:22:00Z</dcterms:modified>
</cp:coreProperties>
</file>